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600"/>
        <w:rPr>
          <w:rFonts w:ascii="宋体" w:hAnsi="宋体" w:cs="宋体"/>
          <w:b/>
          <w:sz w:val="30"/>
          <w:szCs w:val="30"/>
        </w:rPr>
      </w:pPr>
      <w:r>
        <w:rPr>
          <w:rFonts w:hint="eastAsia" w:ascii="宋体" w:hAnsi="宋体" w:cs="宋体"/>
          <w:b/>
          <w:sz w:val="30"/>
          <w:szCs w:val="30"/>
        </w:rPr>
        <w:t>招标编号：</w:t>
      </w:r>
      <w:r>
        <w:rPr>
          <w:rFonts w:hint="eastAsia" w:ascii="宋体" w:hAnsi="宋体" w:cs="宋体"/>
          <w:b/>
          <w:sz w:val="30"/>
          <w:szCs w:val="30"/>
          <w:u w:val="single"/>
        </w:rPr>
        <w:t xml:space="preserve"> </w:t>
      </w:r>
      <w:r>
        <w:rPr>
          <w:rFonts w:hint="eastAsia" w:ascii="宋体" w:hAnsi="宋体" w:cs="宋体"/>
          <w:b/>
          <w:sz w:val="30"/>
          <w:szCs w:val="30"/>
          <w:u w:val="single"/>
          <w:lang w:val="en-US" w:eastAsia="zh-CN"/>
        </w:rPr>
        <w:t>南妇幼采询〔2022〕9号</w:t>
      </w:r>
      <w:r>
        <w:rPr>
          <w:rFonts w:hint="eastAsia" w:ascii="宋体" w:hAnsi="宋体" w:cs="宋体"/>
          <w:b/>
          <w:sz w:val="30"/>
          <w:szCs w:val="30"/>
          <w:u w:val="single"/>
        </w:rPr>
        <w:t xml:space="preserve"> </w:t>
      </w:r>
    </w:p>
    <w:p>
      <w:pPr>
        <w:rPr>
          <w:rFonts w:ascii="宋体" w:hAnsi="宋体" w:cs="宋体"/>
          <w:b/>
          <w:sz w:val="48"/>
          <w:szCs w:val="48"/>
        </w:rPr>
      </w:pPr>
    </w:p>
    <w:p>
      <w:pPr>
        <w:jc w:val="center"/>
        <w:rPr>
          <w:rFonts w:hint="default" w:ascii="宋体" w:hAnsi="宋体" w:eastAsia="宋体" w:cs="宋体"/>
          <w:b/>
          <w:sz w:val="48"/>
          <w:szCs w:val="48"/>
          <w:lang w:val="en-US" w:eastAsia="zh-CN"/>
        </w:rPr>
      </w:pPr>
      <w:r>
        <w:rPr>
          <w:rFonts w:hint="eastAsia" w:ascii="宋体" w:hAnsi="宋体" w:cs="宋体"/>
          <w:b/>
          <w:sz w:val="48"/>
          <w:szCs w:val="48"/>
          <w:lang w:val="en-US" w:eastAsia="zh-CN"/>
        </w:rPr>
        <w:t>南江县妇幼保健院</w:t>
      </w:r>
    </w:p>
    <w:p>
      <w:pPr>
        <w:jc w:val="center"/>
        <w:rPr>
          <w:rFonts w:ascii="宋体" w:hAnsi="宋体" w:cs="宋体"/>
          <w:b/>
          <w:sz w:val="48"/>
          <w:szCs w:val="48"/>
        </w:rPr>
      </w:pPr>
      <w:r>
        <w:rPr>
          <w:rFonts w:hint="eastAsia" w:ascii="宋体" w:hAnsi="宋体" w:cs="宋体"/>
          <w:b/>
          <w:sz w:val="48"/>
          <w:szCs w:val="48"/>
        </w:rPr>
        <w:t>消防系统、设施维保服务采购项目</w:t>
      </w:r>
    </w:p>
    <w:p>
      <w:pPr>
        <w:tabs>
          <w:tab w:val="left" w:pos="2505"/>
          <w:tab w:val="center" w:pos="4204"/>
        </w:tabs>
        <w:rPr>
          <w:rFonts w:ascii="宋体" w:hAnsi="宋体" w:cs="宋体"/>
          <w:b/>
          <w:sz w:val="72"/>
          <w:szCs w:val="72"/>
        </w:rPr>
      </w:pPr>
    </w:p>
    <w:p>
      <w:pPr>
        <w:pStyle w:val="16"/>
      </w:pPr>
    </w:p>
    <w:p>
      <w:pPr>
        <w:tabs>
          <w:tab w:val="left" w:pos="2505"/>
          <w:tab w:val="center" w:pos="4204"/>
        </w:tabs>
        <w:jc w:val="center"/>
        <w:rPr>
          <w:rFonts w:hint="eastAsia" w:ascii="宋体" w:hAnsi="宋体" w:eastAsia="宋体" w:cs="宋体"/>
          <w:b/>
          <w:sz w:val="96"/>
          <w:szCs w:val="96"/>
          <w:lang w:val="en-US" w:eastAsia="zh-CN"/>
        </w:rPr>
      </w:pPr>
      <w:r>
        <w:rPr>
          <w:rFonts w:hint="eastAsia" w:ascii="宋体" w:hAnsi="宋体" w:cs="宋体"/>
          <w:b/>
          <w:sz w:val="96"/>
          <w:szCs w:val="96"/>
          <w:lang w:val="en-US" w:eastAsia="zh-CN"/>
        </w:rPr>
        <w:t>询</w:t>
      </w:r>
      <w:bookmarkStart w:id="268" w:name="_GoBack"/>
      <w:bookmarkEnd w:id="268"/>
    </w:p>
    <w:p>
      <w:pPr>
        <w:jc w:val="center"/>
        <w:rPr>
          <w:rFonts w:hint="eastAsia" w:ascii="宋体" w:hAnsi="宋体" w:eastAsia="宋体" w:cs="宋体"/>
          <w:b/>
          <w:sz w:val="96"/>
          <w:szCs w:val="96"/>
          <w:lang w:val="en-US" w:eastAsia="zh-CN"/>
        </w:rPr>
      </w:pPr>
      <w:r>
        <w:rPr>
          <w:rFonts w:hint="eastAsia" w:ascii="宋体" w:hAnsi="宋体" w:cs="宋体"/>
          <w:b/>
          <w:sz w:val="96"/>
          <w:szCs w:val="96"/>
          <w:lang w:val="en-US" w:eastAsia="zh-CN"/>
        </w:rPr>
        <w:t>价</w:t>
      </w:r>
    </w:p>
    <w:p>
      <w:pPr>
        <w:jc w:val="center"/>
        <w:rPr>
          <w:rFonts w:ascii="宋体" w:hAnsi="宋体" w:cs="宋体"/>
          <w:b/>
          <w:sz w:val="96"/>
          <w:szCs w:val="96"/>
        </w:rPr>
      </w:pPr>
      <w:r>
        <w:rPr>
          <w:rFonts w:hint="eastAsia" w:ascii="宋体" w:hAnsi="宋体" w:cs="宋体"/>
          <w:b/>
          <w:sz w:val="96"/>
          <w:szCs w:val="96"/>
        </w:rPr>
        <w:t>文</w:t>
      </w:r>
    </w:p>
    <w:p>
      <w:pPr>
        <w:jc w:val="center"/>
        <w:rPr>
          <w:rFonts w:ascii="宋体" w:hAnsi="宋体" w:cs="宋体"/>
          <w:b/>
          <w:sz w:val="32"/>
          <w:szCs w:val="32"/>
        </w:rPr>
      </w:pPr>
      <w:r>
        <w:rPr>
          <w:rFonts w:hint="eastAsia" w:ascii="宋体" w:hAnsi="宋体" w:cs="宋体"/>
          <w:b/>
          <w:sz w:val="96"/>
          <w:szCs w:val="96"/>
        </w:rPr>
        <w:t>件</w:t>
      </w:r>
    </w:p>
    <w:p>
      <w:pPr>
        <w:spacing w:line="360" w:lineRule="auto"/>
        <w:rPr>
          <w:rFonts w:ascii="宋体" w:hAnsi="宋体" w:cs="宋体"/>
          <w:b/>
          <w:sz w:val="32"/>
          <w:szCs w:val="32"/>
        </w:rPr>
      </w:pPr>
    </w:p>
    <w:p>
      <w:pPr>
        <w:pStyle w:val="16"/>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中国·四川（巴中）</w:t>
      </w:r>
    </w:p>
    <w:p>
      <w:pPr>
        <w:spacing w:line="360" w:lineRule="auto"/>
        <w:jc w:val="center"/>
        <w:rPr>
          <w:rFonts w:hint="default" w:ascii="宋体" w:hAnsi="宋体" w:eastAsia="宋体" w:cs="宋体"/>
          <w:b/>
          <w:sz w:val="32"/>
          <w:szCs w:val="32"/>
          <w:lang w:val="en-US" w:eastAsia="zh-CN"/>
        </w:rPr>
      </w:pPr>
      <w:r>
        <w:rPr>
          <w:rFonts w:hint="eastAsia" w:ascii="宋体" w:hAnsi="宋体" w:cs="宋体"/>
          <w:b/>
          <w:sz w:val="32"/>
          <w:szCs w:val="32"/>
        </w:rPr>
        <w:t>采购人：</w:t>
      </w:r>
      <w:r>
        <w:rPr>
          <w:rFonts w:hint="eastAsia" w:ascii="宋体" w:hAnsi="宋体" w:cs="宋体"/>
          <w:b/>
          <w:sz w:val="32"/>
          <w:szCs w:val="32"/>
          <w:lang w:val="en-US" w:eastAsia="zh-CN"/>
        </w:rPr>
        <w:t>南江县妇幼保健院</w:t>
      </w:r>
    </w:p>
    <w:p>
      <w:pPr>
        <w:spacing w:line="360" w:lineRule="auto"/>
        <w:jc w:val="center"/>
        <w:rPr>
          <w:rFonts w:ascii="宋体" w:hAnsi="宋体" w:cs="宋体"/>
          <w:b/>
          <w:sz w:val="32"/>
          <w:szCs w:val="32"/>
        </w:rPr>
      </w:pPr>
      <w:r>
        <w:rPr>
          <w:rFonts w:hint="eastAsia" w:ascii="宋体" w:hAnsi="宋体" w:cs="宋体"/>
          <w:b/>
          <w:sz w:val="32"/>
          <w:szCs w:val="32"/>
        </w:rPr>
        <w:t>编制</w:t>
      </w:r>
    </w:p>
    <w:p>
      <w:pPr>
        <w:spacing w:line="360" w:lineRule="auto"/>
        <w:ind w:firstLine="3301" w:firstLineChars="1096"/>
        <w:rPr>
          <w:rFonts w:ascii="宋体" w:hAnsi="宋体" w:cs="宋体"/>
          <w:b/>
          <w:bCs/>
          <w:sz w:val="32"/>
          <w:szCs w:val="32"/>
          <w:lang w:val="zh-CN"/>
        </w:rPr>
      </w:pPr>
      <w:r>
        <w:rPr>
          <w:rFonts w:hint="eastAsia" w:ascii="宋体" w:hAnsi="宋体" w:cs="宋体"/>
          <w:b/>
          <w:sz w:val="30"/>
          <w:szCs w:val="30"/>
        </w:rPr>
        <w:t>202</w:t>
      </w:r>
      <w:r>
        <w:rPr>
          <w:rFonts w:hint="eastAsia" w:ascii="宋体" w:hAnsi="宋体" w:cs="宋体"/>
          <w:b/>
          <w:sz w:val="30"/>
          <w:szCs w:val="30"/>
          <w:lang w:val="en-US" w:eastAsia="zh-CN"/>
        </w:rPr>
        <w:t>2</w:t>
      </w:r>
      <w:r>
        <w:rPr>
          <w:rFonts w:hint="eastAsia" w:ascii="宋体" w:hAnsi="宋体" w:cs="宋体"/>
          <w:b/>
          <w:bCs/>
          <w:sz w:val="32"/>
          <w:szCs w:val="32"/>
          <w:lang w:val="zh-CN"/>
        </w:rPr>
        <w:t>年</w:t>
      </w:r>
      <w:r>
        <w:rPr>
          <w:rFonts w:hint="eastAsia" w:ascii="宋体" w:hAnsi="宋体" w:cs="宋体"/>
          <w:b/>
          <w:sz w:val="30"/>
          <w:szCs w:val="30"/>
        </w:rPr>
        <w:t>0</w:t>
      </w:r>
      <w:r>
        <w:rPr>
          <w:rFonts w:hint="eastAsia" w:ascii="宋体" w:hAnsi="宋体" w:cs="宋体"/>
          <w:b/>
          <w:sz w:val="30"/>
          <w:szCs w:val="30"/>
          <w:lang w:val="en-US" w:eastAsia="zh-CN"/>
        </w:rPr>
        <w:t>7</w:t>
      </w:r>
      <w:r>
        <w:rPr>
          <w:rFonts w:hint="eastAsia" w:ascii="宋体" w:hAnsi="宋体" w:cs="宋体"/>
          <w:b/>
          <w:bCs/>
          <w:sz w:val="32"/>
          <w:szCs w:val="32"/>
          <w:lang w:val="zh-CN"/>
        </w:rPr>
        <w:t>月</w:t>
      </w:r>
    </w:p>
    <w:p>
      <w:pPr>
        <w:pStyle w:val="16"/>
        <w:ind w:firstLine="321"/>
        <w:rPr>
          <w:rFonts w:ascii="宋体" w:hAnsi="宋体" w:cs="宋体"/>
          <w:b/>
          <w:bCs/>
          <w:sz w:val="32"/>
          <w:szCs w:val="32"/>
          <w:lang w:val="zh-CN"/>
        </w:rPr>
      </w:pPr>
    </w:p>
    <w:p>
      <w:pPr>
        <w:pStyle w:val="16"/>
        <w:ind w:firstLine="0" w:firstLineChars="0"/>
        <w:rPr>
          <w:rFonts w:ascii="宋体" w:hAnsi="宋体" w:cs="宋体"/>
          <w:b/>
          <w:bCs/>
          <w:sz w:val="32"/>
          <w:szCs w:val="32"/>
          <w:lang w:val="zh-CN"/>
        </w:rPr>
        <w:sectPr>
          <w:headerReference r:id="rId3" w:type="even"/>
          <w:footerReference r:id="rId4" w:type="even"/>
          <w:pgSz w:w="11850" w:h="16783"/>
          <w:pgMar w:top="1418" w:right="1514" w:bottom="1418" w:left="1985" w:header="851" w:footer="992" w:gutter="0"/>
          <w:pgNumType w:start="1"/>
          <w:cols w:space="720" w:num="1"/>
          <w:docGrid w:linePitch="312" w:charSpace="0"/>
        </w:sectPr>
      </w:pPr>
    </w:p>
    <w:p>
      <w:pPr>
        <w:ind w:firstLine="440"/>
        <w:jc w:val="center"/>
        <w:rPr>
          <w:rFonts w:ascii="宋体" w:hAnsi="宋体"/>
          <w:sz w:val="32"/>
          <w:szCs w:val="32"/>
        </w:rPr>
      </w:pPr>
    </w:p>
    <w:sdt>
      <w:sdtPr>
        <w:rPr>
          <w:rFonts w:ascii="宋体" w:hAnsi="宋体" w:eastAsia="宋体" w:cs="Times New Roman"/>
          <w:kern w:val="2"/>
          <w:sz w:val="21"/>
          <w:szCs w:val="24"/>
          <w:lang w:val="en-US" w:eastAsia="zh-CN" w:bidi="ar-SA"/>
        </w:rPr>
        <w:id w:val="147471857"/>
        <w15:color w:val="DBDBDB"/>
        <w:docPartObj>
          <w:docPartGallery w:val="Table of Contents"/>
          <w:docPartUnique/>
        </w:docPartObj>
      </w:sdtPr>
      <w:sdtEndPr>
        <w:rPr>
          <w:rFonts w:ascii="Times New Roman" w:hAnsi="Times New Roman" w:eastAsia="宋体" w:cs="Times New Roman"/>
          <w:kern w:val="2"/>
          <w:sz w:val="34"/>
          <w:szCs w:val="20"/>
          <w:lang w:val="en-US" w:eastAsia="zh-CN" w:bidi="ar-SA"/>
        </w:rPr>
      </w:sdtEndPr>
      <w:sdtContent>
        <w:p>
          <w:pPr>
            <w:spacing w:before="0" w:beforeLines="0" w:after="0" w:afterLines="0" w:line="240" w:lineRule="auto"/>
            <w:ind w:left="0" w:leftChars="0" w:right="0" w:rightChars="0" w:firstLine="0" w:firstLineChars="0"/>
            <w:jc w:val="center"/>
            <w:rPr>
              <w:sz w:val="36"/>
              <w:szCs w:val="44"/>
            </w:rPr>
          </w:pPr>
          <w:r>
            <w:rPr>
              <w:rFonts w:ascii="宋体" w:hAnsi="宋体" w:eastAsia="宋体"/>
              <w:sz w:val="36"/>
              <w:szCs w:val="44"/>
            </w:rPr>
            <w:t>目录</w:t>
          </w:r>
        </w:p>
        <w:p>
          <w:pPr>
            <w:pStyle w:val="24"/>
            <w:tabs>
              <w:tab w:val="right" w:leader="dot" w:pos="8902"/>
            </w:tabs>
            <w:rPr>
              <w:sz w:val="24"/>
              <w:szCs w:val="24"/>
            </w:rPr>
          </w:pPr>
          <w:r>
            <w:fldChar w:fldCharType="begin"/>
          </w:r>
          <w:r>
            <w:instrText xml:space="preserve">TOC \o "1-1" \h \u </w:instrText>
          </w:r>
          <w:r>
            <w:fldChar w:fldCharType="separate"/>
          </w:r>
          <w:r>
            <w:rPr>
              <w:sz w:val="24"/>
              <w:szCs w:val="24"/>
            </w:rPr>
            <w:fldChar w:fldCharType="begin"/>
          </w:r>
          <w:r>
            <w:rPr>
              <w:sz w:val="24"/>
              <w:szCs w:val="24"/>
            </w:rPr>
            <w:instrText xml:space="preserve"> HYPERLINK \l _Toc12105 </w:instrText>
          </w:r>
          <w:r>
            <w:rPr>
              <w:sz w:val="24"/>
              <w:szCs w:val="24"/>
            </w:rPr>
            <w:fldChar w:fldCharType="separate"/>
          </w:r>
          <w:r>
            <w:rPr>
              <w:rFonts w:hint="eastAsia" w:ascii="宋体" w:hAnsi="宋体" w:eastAsia="宋体" w:cs="宋体"/>
              <w:bCs w:val="0"/>
              <w:sz w:val="24"/>
              <w:szCs w:val="40"/>
            </w:rPr>
            <w:t xml:space="preserve">第一章  </w:t>
          </w:r>
          <w:r>
            <w:rPr>
              <w:rFonts w:hint="eastAsia" w:ascii="宋体" w:hAnsi="宋体" w:eastAsia="宋体" w:cs="宋体"/>
              <w:bCs w:val="0"/>
              <w:sz w:val="24"/>
              <w:szCs w:val="24"/>
            </w:rPr>
            <w:t>招标公告</w:t>
          </w:r>
          <w:r>
            <w:rPr>
              <w:sz w:val="24"/>
              <w:szCs w:val="24"/>
            </w:rPr>
            <w:tab/>
          </w:r>
          <w:r>
            <w:rPr>
              <w:sz w:val="24"/>
              <w:szCs w:val="24"/>
            </w:rPr>
            <w:fldChar w:fldCharType="begin"/>
          </w:r>
          <w:r>
            <w:rPr>
              <w:sz w:val="24"/>
              <w:szCs w:val="24"/>
            </w:rPr>
            <w:instrText xml:space="preserve"> PAGEREF _Toc12105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_Toc26139 </w:instrText>
          </w:r>
          <w:r>
            <w:rPr>
              <w:sz w:val="24"/>
              <w:szCs w:val="24"/>
            </w:rPr>
            <w:fldChar w:fldCharType="separate"/>
          </w:r>
          <w:r>
            <w:rPr>
              <w:rFonts w:hint="eastAsia" w:ascii="宋体" w:hAnsi="宋体" w:eastAsia="宋体" w:cs="宋体"/>
              <w:sz w:val="24"/>
              <w:szCs w:val="40"/>
            </w:rPr>
            <w:t>第二章  投标人须知</w:t>
          </w:r>
          <w:r>
            <w:rPr>
              <w:sz w:val="24"/>
              <w:szCs w:val="24"/>
            </w:rPr>
            <w:tab/>
          </w:r>
          <w:r>
            <w:rPr>
              <w:sz w:val="24"/>
              <w:szCs w:val="24"/>
            </w:rPr>
            <w:fldChar w:fldCharType="begin"/>
          </w:r>
          <w:r>
            <w:rPr>
              <w:sz w:val="24"/>
              <w:szCs w:val="24"/>
            </w:rPr>
            <w:instrText xml:space="preserve"> PAGEREF _Toc26139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_Toc5347 </w:instrText>
          </w:r>
          <w:r>
            <w:rPr>
              <w:sz w:val="24"/>
              <w:szCs w:val="24"/>
            </w:rPr>
            <w:fldChar w:fldCharType="separate"/>
          </w:r>
          <w:r>
            <w:rPr>
              <w:rFonts w:hint="eastAsia" w:ascii="宋体" w:hAnsi="宋体" w:eastAsia="宋体" w:cs="宋体"/>
              <w:sz w:val="24"/>
              <w:szCs w:val="24"/>
            </w:rPr>
            <w:t xml:space="preserve">第三章 </w:t>
          </w:r>
          <w:r>
            <w:rPr>
              <w:rFonts w:hint="eastAsia" w:ascii="宋体" w:hAnsi="宋体" w:cs="宋体"/>
              <w:sz w:val="24"/>
              <w:szCs w:val="24"/>
              <w:lang w:val="en-US" w:eastAsia="zh-CN"/>
            </w:rPr>
            <w:t xml:space="preserve"> </w:t>
          </w:r>
          <w:r>
            <w:rPr>
              <w:rFonts w:hint="eastAsia" w:ascii="宋体" w:hAnsi="宋体" w:eastAsia="宋体" w:cs="宋体"/>
              <w:sz w:val="24"/>
              <w:szCs w:val="24"/>
            </w:rPr>
            <w:t>投标文件格式</w:t>
          </w:r>
          <w:r>
            <w:rPr>
              <w:sz w:val="24"/>
              <w:szCs w:val="24"/>
            </w:rPr>
            <w:tab/>
          </w:r>
          <w:r>
            <w:rPr>
              <w:sz w:val="24"/>
              <w:szCs w:val="24"/>
            </w:rPr>
            <w:fldChar w:fldCharType="begin"/>
          </w:r>
          <w:r>
            <w:rPr>
              <w:sz w:val="24"/>
              <w:szCs w:val="24"/>
            </w:rPr>
            <w:instrText xml:space="preserve"> PAGEREF _Toc5347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_Toc10433 </w:instrText>
          </w:r>
          <w:r>
            <w:rPr>
              <w:sz w:val="24"/>
              <w:szCs w:val="24"/>
            </w:rPr>
            <w:fldChar w:fldCharType="separate"/>
          </w:r>
          <w:r>
            <w:rPr>
              <w:rFonts w:hint="eastAsia" w:ascii="宋体" w:hAnsi="宋体" w:eastAsia="宋体" w:cs="宋体"/>
              <w:sz w:val="24"/>
              <w:szCs w:val="24"/>
            </w:rPr>
            <w:t xml:space="preserve">第四章 </w:t>
          </w:r>
          <w:r>
            <w:rPr>
              <w:rFonts w:hint="eastAsia" w:ascii="宋体" w:hAnsi="宋体" w:cs="宋体"/>
              <w:sz w:val="24"/>
              <w:szCs w:val="24"/>
              <w:lang w:val="en-US" w:eastAsia="zh-CN"/>
            </w:rPr>
            <w:t xml:space="preserve"> </w:t>
          </w:r>
          <w:r>
            <w:rPr>
              <w:rFonts w:hint="eastAsia" w:ascii="宋体" w:hAnsi="宋体" w:eastAsia="宋体" w:cs="宋体"/>
              <w:sz w:val="24"/>
              <w:szCs w:val="24"/>
            </w:rPr>
            <w:t>招标项目技术参数内容和商务要求</w:t>
          </w:r>
          <w:r>
            <w:rPr>
              <w:sz w:val="24"/>
              <w:szCs w:val="24"/>
            </w:rPr>
            <w:tab/>
          </w:r>
          <w:r>
            <w:rPr>
              <w:sz w:val="24"/>
              <w:szCs w:val="24"/>
            </w:rPr>
            <w:fldChar w:fldCharType="begin"/>
          </w:r>
          <w:r>
            <w:rPr>
              <w:sz w:val="24"/>
              <w:szCs w:val="24"/>
            </w:rPr>
            <w:instrText xml:space="preserve"> PAGEREF _Toc10433 </w:instrText>
          </w:r>
          <w:r>
            <w:rPr>
              <w:sz w:val="24"/>
              <w:szCs w:val="24"/>
            </w:rPr>
            <w:fldChar w:fldCharType="separate"/>
          </w:r>
          <w:r>
            <w:rPr>
              <w:sz w:val="24"/>
              <w:szCs w:val="24"/>
            </w:rPr>
            <w:t>30</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_Toc32434 </w:instrText>
          </w:r>
          <w:r>
            <w:rPr>
              <w:sz w:val="24"/>
              <w:szCs w:val="24"/>
            </w:rPr>
            <w:fldChar w:fldCharType="separate"/>
          </w:r>
          <w:r>
            <w:rPr>
              <w:rFonts w:hint="eastAsia" w:ascii="宋体" w:hAnsi="宋体" w:eastAsia="宋体" w:cs="宋体"/>
              <w:sz w:val="24"/>
              <w:szCs w:val="24"/>
            </w:rPr>
            <w:t>第五章  评标办法</w:t>
          </w:r>
          <w:r>
            <w:rPr>
              <w:sz w:val="24"/>
              <w:szCs w:val="24"/>
            </w:rPr>
            <w:tab/>
          </w:r>
          <w:r>
            <w:rPr>
              <w:sz w:val="24"/>
              <w:szCs w:val="24"/>
            </w:rPr>
            <w:fldChar w:fldCharType="begin"/>
          </w:r>
          <w:r>
            <w:rPr>
              <w:sz w:val="24"/>
              <w:szCs w:val="24"/>
            </w:rPr>
            <w:instrText xml:space="preserve"> PAGEREF _Toc32434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4"/>
            <w:tabs>
              <w:tab w:val="right" w:leader="dot" w:pos="8902"/>
            </w:tabs>
            <w:rPr>
              <w:sz w:val="24"/>
              <w:szCs w:val="24"/>
            </w:rPr>
          </w:pPr>
          <w:r>
            <w:rPr>
              <w:sz w:val="24"/>
              <w:szCs w:val="24"/>
            </w:rPr>
            <w:fldChar w:fldCharType="begin"/>
          </w:r>
          <w:r>
            <w:rPr>
              <w:sz w:val="24"/>
              <w:szCs w:val="24"/>
            </w:rPr>
            <w:instrText xml:space="preserve"> HYPERLINK \l _Toc12717 </w:instrText>
          </w:r>
          <w:r>
            <w:rPr>
              <w:sz w:val="24"/>
              <w:szCs w:val="24"/>
            </w:rPr>
            <w:fldChar w:fldCharType="separate"/>
          </w:r>
          <w:r>
            <w:rPr>
              <w:rFonts w:hint="eastAsia" w:ascii="宋体" w:eastAsia="宋体" w:cs="宋体"/>
              <w:sz w:val="24"/>
              <w:szCs w:val="48"/>
              <w:lang w:eastAsia="zh-CN"/>
            </w:rPr>
            <w:t>第六章</w:t>
          </w:r>
          <w:r>
            <w:rPr>
              <w:rFonts w:hint="eastAsia" w:ascii="宋体" w:eastAsia="宋体" w:cs="宋体"/>
              <w:sz w:val="24"/>
              <w:szCs w:val="48"/>
              <w:lang w:val="en-US" w:eastAsia="zh-CN"/>
            </w:rPr>
            <w:t xml:space="preserve">  </w:t>
          </w:r>
          <w:r>
            <w:rPr>
              <w:rFonts w:hint="eastAsia" w:ascii="宋体" w:eastAsia="宋体" w:cs="宋体"/>
              <w:sz w:val="24"/>
              <w:szCs w:val="48"/>
            </w:rPr>
            <w:t>合同主要条款</w:t>
          </w:r>
          <w:r>
            <w:rPr>
              <w:sz w:val="24"/>
              <w:szCs w:val="24"/>
            </w:rPr>
            <w:tab/>
          </w:r>
          <w:r>
            <w:rPr>
              <w:sz w:val="24"/>
              <w:szCs w:val="24"/>
            </w:rPr>
            <w:fldChar w:fldCharType="begin"/>
          </w:r>
          <w:r>
            <w:rPr>
              <w:sz w:val="24"/>
              <w:szCs w:val="24"/>
            </w:rPr>
            <w:instrText xml:space="preserve"> PAGEREF _Toc12717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24"/>
            <w:tabs>
              <w:tab w:val="right" w:leader="dot" w:pos="8902"/>
            </w:tabs>
            <w:rPr>
              <w:rFonts w:hint="default" w:eastAsia="宋体"/>
              <w:lang w:val="en-US" w:eastAsia="zh-CN"/>
            </w:rPr>
          </w:pPr>
          <w:r>
            <w:rPr>
              <w:sz w:val="24"/>
              <w:szCs w:val="24"/>
            </w:rPr>
            <w:fldChar w:fldCharType="begin"/>
          </w:r>
          <w:r>
            <w:rPr>
              <w:sz w:val="24"/>
              <w:szCs w:val="24"/>
            </w:rPr>
            <w:instrText xml:space="preserve"> HYPERLINK \l _Toc32260 </w:instrText>
          </w:r>
          <w:r>
            <w:rPr>
              <w:sz w:val="24"/>
              <w:szCs w:val="24"/>
            </w:rPr>
            <w:fldChar w:fldCharType="separate"/>
          </w:r>
          <w:r>
            <w:rPr>
              <w:rFonts w:hint="eastAsia" w:ascii="宋体" w:cs="宋体"/>
              <w:bCs/>
              <w:sz w:val="24"/>
              <w:szCs w:val="48"/>
            </w:rPr>
            <w:t>第七章  廉洁合同</w:t>
          </w:r>
          <w:r>
            <w:rPr>
              <w:sz w:val="24"/>
              <w:szCs w:val="24"/>
            </w:rPr>
            <w:tab/>
          </w:r>
          <w:r>
            <w:rPr>
              <w:sz w:val="24"/>
              <w:szCs w:val="24"/>
            </w:rPr>
            <w:fldChar w:fldCharType="end"/>
          </w:r>
          <w:r>
            <w:rPr>
              <w:rFonts w:hint="eastAsia"/>
              <w:sz w:val="24"/>
              <w:szCs w:val="24"/>
              <w:lang w:val="en-US" w:eastAsia="zh-CN"/>
            </w:rPr>
            <w:t>45</w:t>
          </w:r>
        </w:p>
        <w:p>
          <w:pPr>
            <w:pStyle w:val="16"/>
          </w:pPr>
          <w:r>
            <w:fldChar w:fldCharType="end"/>
          </w:r>
        </w:p>
      </w:sdtContent>
    </w:sdt>
    <w:p>
      <w:pPr>
        <w:pStyle w:val="16"/>
        <w:ind w:firstLine="360"/>
        <w:rPr>
          <w:rFonts w:ascii="宋体" w:hAnsi="宋体" w:cs="宋体"/>
          <w:bCs/>
          <w:sz w:val="36"/>
        </w:rPr>
      </w:pPr>
    </w:p>
    <w:p>
      <w:pPr>
        <w:rPr>
          <w:rFonts w:ascii="宋体" w:hAnsi="宋体" w:cs="宋体"/>
          <w:sz w:val="36"/>
        </w:rPr>
      </w:pPr>
    </w:p>
    <w:p>
      <w:pPr>
        <w:rPr>
          <w:rFonts w:ascii="宋体" w:hAnsi="宋体" w:cs="宋体"/>
          <w:sz w:val="36"/>
        </w:rPr>
      </w:pPr>
    </w:p>
    <w:p>
      <w:pPr>
        <w:rPr>
          <w:rFonts w:ascii="宋体" w:hAnsi="宋体" w:cs="宋体"/>
          <w:sz w:val="36"/>
        </w:rPr>
      </w:pPr>
    </w:p>
    <w:p>
      <w:pPr>
        <w:rPr>
          <w:rFonts w:ascii="宋体" w:hAnsi="宋体" w:cs="宋体"/>
          <w:sz w:val="36"/>
        </w:rPr>
      </w:pPr>
    </w:p>
    <w:p>
      <w:pPr>
        <w:rPr>
          <w:rFonts w:ascii="宋体" w:hAnsi="宋体" w:cs="宋体"/>
          <w:sz w:val="36"/>
        </w:rPr>
      </w:pPr>
    </w:p>
    <w:p>
      <w:pPr>
        <w:pStyle w:val="16"/>
        <w:ind w:firstLine="340"/>
      </w:pPr>
    </w:p>
    <w:p>
      <w:pPr>
        <w:pStyle w:val="16"/>
        <w:ind w:firstLine="340"/>
      </w:pPr>
    </w:p>
    <w:p>
      <w:pPr>
        <w:pStyle w:val="16"/>
        <w:ind w:firstLine="340"/>
      </w:pPr>
    </w:p>
    <w:p>
      <w:pPr>
        <w:pStyle w:val="16"/>
        <w:ind w:firstLine="340"/>
      </w:pPr>
    </w:p>
    <w:p>
      <w:pPr>
        <w:pStyle w:val="16"/>
        <w:ind w:firstLine="0" w:firstLineChars="0"/>
        <w:sectPr>
          <w:pgSz w:w="11850" w:h="16783"/>
          <w:pgMar w:top="1440" w:right="1474" w:bottom="1440" w:left="1474" w:header="851" w:footer="992" w:gutter="0"/>
          <w:cols w:space="720" w:num="1"/>
          <w:docGrid w:linePitch="312" w:charSpace="0"/>
        </w:sectPr>
      </w:pPr>
      <w:bookmarkStart w:id="0" w:name="_Toc30855"/>
      <w:bookmarkStart w:id="1" w:name="_Toc18028_WPSOffice_Level1"/>
      <w:bookmarkStart w:id="2" w:name="_Toc22067_WPSOffice_Level1"/>
    </w:p>
    <w:p>
      <w:pPr>
        <w:pStyle w:val="5"/>
        <w:spacing w:line="360" w:lineRule="exact"/>
        <w:jc w:val="center"/>
        <w:outlineLvl w:val="0"/>
        <w:rPr>
          <w:rFonts w:ascii="宋体" w:hAnsi="宋体" w:eastAsia="宋体" w:cs="宋体"/>
          <w:bCs w:val="0"/>
          <w:szCs w:val="28"/>
        </w:rPr>
      </w:pPr>
      <w:bookmarkStart w:id="3" w:name="_Toc12105"/>
      <w:bookmarkStart w:id="4" w:name="_Toc16184"/>
      <w:r>
        <w:rPr>
          <w:rFonts w:hint="eastAsia" w:ascii="宋体" w:hAnsi="宋体" w:eastAsia="宋体" w:cs="宋体"/>
          <w:bCs w:val="0"/>
          <w:szCs w:val="28"/>
        </w:rPr>
        <w:t xml:space="preserve">第一章  </w:t>
      </w:r>
      <w:bookmarkEnd w:id="0"/>
      <w:bookmarkEnd w:id="1"/>
      <w:bookmarkEnd w:id="2"/>
      <w:r>
        <w:rPr>
          <w:rFonts w:hint="eastAsia" w:ascii="宋体" w:hAnsi="宋体" w:eastAsia="宋体" w:cs="宋体"/>
          <w:bCs w:val="0"/>
        </w:rPr>
        <w:t>招标公告</w:t>
      </w:r>
      <w:bookmarkEnd w:id="3"/>
      <w:bookmarkEnd w:id="4"/>
    </w:p>
    <w:p>
      <w:pPr>
        <w:pStyle w:val="7"/>
        <w:ind w:firstLine="420"/>
        <w:rPr>
          <w:rFonts w:ascii="宋体" w:hAnsi="宋体" w:cs="宋体"/>
        </w:rPr>
      </w:pPr>
    </w:p>
    <w:p>
      <w:pPr>
        <w:spacing w:line="500" w:lineRule="exact"/>
        <w:ind w:firstLine="723" w:firstLineChars="300"/>
        <w:jc w:val="left"/>
        <w:rPr>
          <w:rFonts w:ascii="宋体" w:hAnsi="宋体" w:cs="宋体"/>
          <w:sz w:val="24"/>
          <w:szCs w:val="28"/>
        </w:rPr>
      </w:pPr>
      <w:r>
        <w:rPr>
          <w:rFonts w:hint="eastAsia" w:ascii="宋体" w:hAnsi="宋体" w:cs="宋体"/>
          <w:b/>
          <w:bCs/>
          <w:sz w:val="24"/>
          <w:u w:val="single"/>
          <w:lang w:val="en-US" w:eastAsia="zh-CN"/>
        </w:rPr>
        <w:t>南江县妇幼保健院</w:t>
      </w:r>
      <w:r>
        <w:rPr>
          <w:rFonts w:hint="eastAsia" w:ascii="宋体" w:hAnsi="宋体" w:cs="宋体"/>
          <w:sz w:val="24"/>
        </w:rPr>
        <w:t>拟对</w:t>
      </w:r>
      <w:r>
        <w:rPr>
          <w:rFonts w:hint="eastAsia" w:ascii="宋体" w:hAnsi="宋体" w:cs="宋体"/>
          <w:sz w:val="24"/>
          <w:lang w:val="en-US" w:eastAsia="zh-CN"/>
        </w:rPr>
        <w:t>医院一、二、三综合大楼的</w:t>
      </w:r>
      <w:r>
        <w:rPr>
          <w:rFonts w:hint="eastAsia" w:ascii="宋体" w:hAnsi="宋体" w:cs="宋体"/>
          <w:b/>
          <w:bCs/>
          <w:sz w:val="24"/>
          <w:u w:val="single"/>
        </w:rPr>
        <w:t>消防系统、设施维保服务采购项目</w:t>
      </w:r>
      <w:r>
        <w:rPr>
          <w:rFonts w:hint="eastAsia" w:ascii="宋体" w:hAnsi="宋体" w:cs="宋体"/>
          <w:sz w:val="24"/>
        </w:rPr>
        <w:t>进行</w:t>
      </w:r>
      <w:r>
        <w:rPr>
          <w:rFonts w:hint="eastAsia" w:ascii="宋体" w:hAnsi="宋体" w:cs="宋体"/>
          <w:bCs/>
          <w:sz w:val="24"/>
        </w:rPr>
        <w:t>公开</w:t>
      </w:r>
      <w:r>
        <w:rPr>
          <w:rFonts w:hint="eastAsia" w:ascii="宋体" w:hAnsi="宋体" w:cs="宋体"/>
          <w:bCs/>
          <w:sz w:val="24"/>
          <w:lang w:val="en-US" w:eastAsia="zh-CN"/>
        </w:rPr>
        <w:t>询价</w:t>
      </w:r>
      <w:r>
        <w:rPr>
          <w:rFonts w:hint="eastAsia" w:ascii="宋体" w:hAnsi="宋体" w:cs="宋体"/>
          <w:sz w:val="24"/>
        </w:rPr>
        <w:t>招标，</w:t>
      </w:r>
      <w:r>
        <w:rPr>
          <w:rFonts w:hint="eastAsia" w:ascii="宋体" w:hAnsi="宋体" w:cs="宋体"/>
          <w:sz w:val="24"/>
          <w:szCs w:val="28"/>
        </w:rPr>
        <w:t>兹邀请符合本次招标要求的供应商参加</w:t>
      </w:r>
      <w:r>
        <w:rPr>
          <w:rFonts w:hint="eastAsia" w:ascii="宋体" w:hAnsi="宋体" w:cs="宋体"/>
          <w:sz w:val="24"/>
        </w:rPr>
        <w:t>投标</w:t>
      </w:r>
      <w:r>
        <w:rPr>
          <w:rFonts w:hint="eastAsia" w:ascii="宋体" w:hAnsi="宋体" w:cs="宋体"/>
          <w:sz w:val="24"/>
          <w:szCs w:val="28"/>
        </w:rPr>
        <w:t>。</w:t>
      </w:r>
    </w:p>
    <w:p>
      <w:pPr>
        <w:spacing w:line="500" w:lineRule="exact"/>
        <w:ind w:firstLine="482" w:firstLineChars="200"/>
        <w:rPr>
          <w:rFonts w:ascii="宋体" w:hAnsi="宋体" w:cs="宋体"/>
          <w:b/>
          <w:sz w:val="24"/>
        </w:rPr>
      </w:pPr>
      <w:r>
        <w:rPr>
          <w:rFonts w:hint="eastAsia" w:ascii="宋体" w:hAnsi="宋体" w:cs="宋体"/>
          <w:b/>
          <w:sz w:val="24"/>
        </w:rPr>
        <w:t>一、招标编号：</w:t>
      </w:r>
      <w:r>
        <w:rPr>
          <w:rFonts w:hint="eastAsia" w:ascii="宋体" w:hAnsi="宋体" w:cs="宋体"/>
          <w:b/>
          <w:sz w:val="24"/>
          <w:u w:val="single"/>
        </w:rPr>
        <w:t xml:space="preserve"> </w:t>
      </w:r>
      <w:r>
        <w:rPr>
          <w:rFonts w:hint="eastAsia" w:ascii="宋体" w:hAnsi="宋体" w:cs="宋体"/>
          <w:b/>
          <w:sz w:val="24"/>
          <w:u w:val="single"/>
          <w:lang w:val="en-US" w:eastAsia="zh-CN"/>
        </w:rPr>
        <w:t>南妇幼采询〔2022〕9号</w:t>
      </w:r>
      <w:r>
        <w:rPr>
          <w:rFonts w:hint="eastAsia" w:ascii="宋体" w:hAnsi="宋体" w:cs="宋体"/>
          <w:b/>
          <w:sz w:val="24"/>
          <w:u w:val="single"/>
        </w:rPr>
        <w:t xml:space="preserve"> </w:t>
      </w:r>
      <w:r>
        <w:rPr>
          <w:rFonts w:hint="eastAsia" w:ascii="宋体" w:hAnsi="宋体" w:cs="宋体"/>
          <w:b/>
          <w:sz w:val="24"/>
        </w:rPr>
        <w:t>。</w:t>
      </w:r>
    </w:p>
    <w:p>
      <w:pPr>
        <w:spacing w:line="500" w:lineRule="exact"/>
        <w:ind w:right="31" w:rightChars="15" w:firstLine="482" w:firstLineChars="200"/>
        <w:rPr>
          <w:rFonts w:ascii="宋体" w:hAnsi="宋体" w:cs="宋体"/>
          <w:b/>
          <w:sz w:val="24"/>
          <w:szCs w:val="32"/>
        </w:rPr>
      </w:pPr>
      <w:r>
        <w:rPr>
          <w:rFonts w:hint="eastAsia" w:ascii="宋体" w:hAnsi="宋体" w:cs="宋体"/>
          <w:b/>
          <w:bCs/>
          <w:sz w:val="24"/>
        </w:rPr>
        <w:t>二、</w:t>
      </w:r>
      <w:r>
        <w:rPr>
          <w:rFonts w:hint="eastAsia" w:ascii="宋体" w:hAnsi="宋体" w:cs="宋体"/>
          <w:b/>
          <w:sz w:val="24"/>
        </w:rPr>
        <w:t>招标项目：</w:t>
      </w:r>
      <w:r>
        <w:rPr>
          <w:rFonts w:hint="eastAsia" w:ascii="宋体" w:hAnsi="宋体" w:cs="宋体"/>
          <w:b/>
          <w:bCs/>
          <w:sz w:val="24"/>
          <w:u w:val="single"/>
        </w:rPr>
        <w:t>消防系统、设施维保服务采购项目</w:t>
      </w:r>
      <w:r>
        <w:rPr>
          <w:rFonts w:hint="eastAsia" w:ascii="宋体" w:hAnsi="宋体" w:cs="宋体"/>
          <w:b/>
          <w:sz w:val="24"/>
          <w:szCs w:val="32"/>
          <w:u w:val="single"/>
        </w:rPr>
        <w:t>。</w:t>
      </w:r>
    </w:p>
    <w:p>
      <w:pPr>
        <w:spacing w:line="500" w:lineRule="exact"/>
        <w:ind w:right="31" w:rightChars="15" w:firstLine="482" w:firstLineChars="200"/>
        <w:rPr>
          <w:rFonts w:ascii="宋体" w:hAnsi="宋体" w:cs="宋体"/>
          <w:b/>
          <w:bCs/>
          <w:sz w:val="24"/>
        </w:rPr>
      </w:pPr>
      <w:r>
        <w:rPr>
          <w:rFonts w:hint="eastAsia" w:ascii="宋体" w:hAnsi="宋体" w:cs="宋体"/>
          <w:b/>
          <w:sz w:val="24"/>
          <w:szCs w:val="28"/>
        </w:rPr>
        <w:t>三、资金来源：</w:t>
      </w:r>
      <w:r>
        <w:rPr>
          <w:rFonts w:hint="eastAsia" w:ascii="宋体" w:hAnsi="宋体" w:cs="宋体"/>
          <w:bCs/>
          <w:sz w:val="24"/>
          <w:szCs w:val="28"/>
        </w:rPr>
        <w:t>自筹资金</w:t>
      </w:r>
      <w:r>
        <w:rPr>
          <w:rFonts w:hint="eastAsia" w:ascii="宋体" w:hAnsi="宋体" w:cs="宋体"/>
          <w:bCs/>
          <w:sz w:val="24"/>
        </w:rPr>
        <w:t>。</w:t>
      </w:r>
    </w:p>
    <w:p>
      <w:pPr>
        <w:pStyle w:val="23"/>
        <w:spacing w:line="500" w:lineRule="exact"/>
        <w:ind w:firstLine="482"/>
        <w:rPr>
          <w:rFonts w:ascii="宋体" w:hAnsi="宋体" w:cs="宋体"/>
          <w:b/>
          <w:sz w:val="24"/>
          <w:szCs w:val="28"/>
        </w:rPr>
      </w:pPr>
      <w:r>
        <w:rPr>
          <w:rFonts w:hint="eastAsia" w:ascii="宋体" w:hAnsi="宋体" w:cs="宋体"/>
          <w:b/>
          <w:sz w:val="24"/>
          <w:szCs w:val="28"/>
        </w:rPr>
        <w:t>四、招标项目简介：</w:t>
      </w:r>
    </w:p>
    <w:p>
      <w:pPr>
        <w:pStyle w:val="23"/>
        <w:spacing w:line="500" w:lineRule="exact"/>
        <w:ind w:firstLine="600" w:firstLineChars="250"/>
        <w:rPr>
          <w:rFonts w:ascii="宋体" w:hAnsi="宋体" w:cs="宋体"/>
          <w:sz w:val="24"/>
        </w:rPr>
      </w:pPr>
      <w:r>
        <w:rPr>
          <w:rFonts w:hint="eastAsia" w:ascii="宋体" w:hAnsi="宋体" w:cs="宋体"/>
          <w:sz w:val="24"/>
        </w:rPr>
        <w:t>南江县妇幼保健院位于南江</w:t>
      </w:r>
      <w:r>
        <w:rPr>
          <w:rFonts w:hint="eastAsia" w:ascii="宋体" w:hAnsi="宋体" w:cs="宋体"/>
          <w:sz w:val="24"/>
          <w:lang w:val="en-US" w:eastAsia="zh-CN"/>
        </w:rPr>
        <w:t>县集州街道</w:t>
      </w:r>
      <w:r>
        <w:rPr>
          <w:rFonts w:hint="eastAsia" w:ascii="宋体" w:hAnsi="宋体" w:cs="宋体"/>
          <w:sz w:val="24"/>
        </w:rPr>
        <w:t>米仓山大道文庙滨河路168号，</w:t>
      </w:r>
      <w:r>
        <w:rPr>
          <w:rFonts w:hint="eastAsia" w:ascii="宋体" w:hAnsi="宋体" w:cs="宋体"/>
          <w:sz w:val="24"/>
          <w:lang w:val="en-US" w:eastAsia="zh-CN"/>
        </w:rPr>
        <w:t>共有一、二、三栋综合大楼，总建筑面积41056.81平方米，其中：一综合大楼建筑面积12423平方米，二综合大楼建筑面积21700平方米，三综合大楼建筑面积6933.81平方米。</w:t>
      </w:r>
      <w:r>
        <w:rPr>
          <w:rFonts w:hint="eastAsia" w:ascii="宋体" w:hAnsi="宋体" w:cs="宋体"/>
          <w:sz w:val="24"/>
        </w:rPr>
        <w:t>本项目共计1个包。拟通过公开</w:t>
      </w:r>
      <w:r>
        <w:rPr>
          <w:rFonts w:hint="eastAsia" w:ascii="宋体" w:hAnsi="宋体" w:cs="宋体"/>
          <w:sz w:val="24"/>
          <w:lang w:val="en-US" w:eastAsia="zh-CN"/>
        </w:rPr>
        <w:t>询价</w:t>
      </w:r>
      <w:r>
        <w:rPr>
          <w:rFonts w:hint="eastAsia" w:ascii="宋体" w:hAnsi="宋体" w:cs="宋体"/>
          <w:sz w:val="24"/>
        </w:rPr>
        <w:t>招标的方式，确定符合采购人需求的供应商，（详见招标文件第四章）。</w:t>
      </w:r>
    </w:p>
    <w:p>
      <w:pPr>
        <w:spacing w:after="120" w:afterLines="50" w:line="500" w:lineRule="exact"/>
        <w:ind w:firstLine="482" w:firstLineChars="200"/>
        <w:rPr>
          <w:rFonts w:ascii="宋体" w:hAnsi="宋体" w:cs="宋体"/>
          <w:b/>
          <w:bCs/>
          <w:sz w:val="24"/>
        </w:rPr>
      </w:pPr>
      <w:r>
        <w:rPr>
          <w:rFonts w:hint="eastAsia" w:ascii="宋体" w:hAnsi="宋体" w:cs="宋体"/>
          <w:b/>
          <w:bCs/>
          <w:sz w:val="24"/>
        </w:rPr>
        <w:t>五、供应商参加本次采购活动，应当在提交投标文件前具备下列条件：</w:t>
      </w:r>
    </w:p>
    <w:p>
      <w:pPr>
        <w:pStyle w:val="23"/>
        <w:spacing w:line="500" w:lineRule="exact"/>
        <w:ind w:firstLine="600" w:firstLineChars="250"/>
        <w:rPr>
          <w:rFonts w:ascii="宋体" w:hAnsi="宋体" w:cs="宋体"/>
          <w:sz w:val="24"/>
        </w:rPr>
      </w:pPr>
      <w:r>
        <w:rPr>
          <w:rFonts w:hint="eastAsia" w:ascii="宋体" w:hAnsi="宋体" w:cs="宋体"/>
          <w:sz w:val="24"/>
        </w:rPr>
        <w:t>1.具有独立承担民事责任能力的法人或其他组织；</w:t>
      </w:r>
    </w:p>
    <w:p>
      <w:pPr>
        <w:tabs>
          <w:tab w:val="left" w:pos="7665"/>
        </w:tabs>
        <w:spacing w:line="500" w:lineRule="exact"/>
        <w:ind w:firstLine="600" w:firstLineChars="250"/>
        <w:rPr>
          <w:rFonts w:ascii="宋体" w:hAnsi="宋体" w:cs="宋体"/>
          <w:sz w:val="24"/>
        </w:rPr>
      </w:pPr>
      <w:r>
        <w:rPr>
          <w:rFonts w:hint="eastAsia" w:ascii="宋体" w:hAnsi="宋体" w:cs="宋体"/>
          <w:sz w:val="24"/>
        </w:rPr>
        <w:t>2.具有良好的商业信誉和健全的财务会计制度；</w:t>
      </w:r>
    </w:p>
    <w:p>
      <w:pPr>
        <w:tabs>
          <w:tab w:val="left" w:pos="7665"/>
        </w:tabs>
        <w:spacing w:line="500" w:lineRule="exact"/>
        <w:ind w:firstLine="600" w:firstLineChars="250"/>
        <w:rPr>
          <w:rFonts w:ascii="宋体" w:hAnsi="宋体" w:cs="宋体"/>
          <w:sz w:val="24"/>
        </w:rPr>
      </w:pPr>
      <w:r>
        <w:rPr>
          <w:rFonts w:hint="eastAsia" w:ascii="宋体" w:hAnsi="宋体" w:cs="宋体"/>
          <w:sz w:val="24"/>
        </w:rPr>
        <w:t>3.具有履行合同所必须的设备和专业技术能力；</w:t>
      </w:r>
    </w:p>
    <w:p>
      <w:pPr>
        <w:tabs>
          <w:tab w:val="left" w:pos="7665"/>
        </w:tabs>
        <w:spacing w:line="500" w:lineRule="exact"/>
        <w:ind w:firstLine="600" w:firstLineChars="250"/>
        <w:rPr>
          <w:rFonts w:ascii="宋体" w:hAnsi="宋体" w:cs="宋体"/>
          <w:sz w:val="24"/>
        </w:rPr>
      </w:pPr>
      <w:r>
        <w:rPr>
          <w:rFonts w:hint="eastAsia" w:ascii="宋体" w:hAnsi="宋体" w:cs="宋体"/>
          <w:sz w:val="24"/>
        </w:rPr>
        <w:t>4.具有依法缴纳税收和社会保障资金的良好记录；</w:t>
      </w:r>
    </w:p>
    <w:p>
      <w:pPr>
        <w:tabs>
          <w:tab w:val="left" w:pos="7665"/>
        </w:tabs>
        <w:spacing w:line="500" w:lineRule="exact"/>
        <w:ind w:firstLine="600" w:firstLineChars="250"/>
        <w:rPr>
          <w:rFonts w:ascii="宋体" w:hAnsi="宋体" w:cs="宋体"/>
          <w:sz w:val="24"/>
        </w:rPr>
      </w:pPr>
      <w:r>
        <w:rPr>
          <w:rFonts w:hint="eastAsia" w:ascii="宋体" w:hAnsi="宋体" w:cs="宋体"/>
          <w:sz w:val="24"/>
        </w:rPr>
        <w:t>5.参加本次采购活动前三年内，在经营活动中没有重大违法记录；</w:t>
      </w:r>
    </w:p>
    <w:p>
      <w:pPr>
        <w:tabs>
          <w:tab w:val="left" w:pos="7665"/>
        </w:tabs>
        <w:spacing w:line="500" w:lineRule="exact"/>
        <w:ind w:firstLine="600" w:firstLineChars="250"/>
        <w:rPr>
          <w:rFonts w:ascii="宋体" w:hAnsi="宋体" w:cs="宋体"/>
          <w:sz w:val="24"/>
        </w:rPr>
      </w:pPr>
      <w:r>
        <w:rPr>
          <w:rFonts w:ascii="宋体" w:hAnsi="宋体" w:cs="宋体"/>
          <w:sz w:val="24"/>
        </w:rPr>
        <w:t>6</w:t>
      </w:r>
      <w:r>
        <w:rPr>
          <w:rFonts w:hint="eastAsia" w:ascii="宋体" w:hAnsi="宋体" w:cs="宋体"/>
          <w:sz w:val="24"/>
        </w:rPr>
        <w:t>.投标人“在国家企业信用信息公示系统”内，近三年未列入严重违法失信企业名单（黑名单）信息；</w:t>
      </w:r>
    </w:p>
    <w:p>
      <w:pPr>
        <w:tabs>
          <w:tab w:val="left" w:pos="7665"/>
        </w:tabs>
        <w:spacing w:line="500" w:lineRule="exact"/>
        <w:ind w:firstLine="600" w:firstLineChars="250"/>
        <w:rPr>
          <w:rFonts w:ascii="宋体" w:hAnsi="宋体" w:cs="宋体"/>
          <w:sz w:val="24"/>
        </w:rPr>
      </w:pPr>
      <w:r>
        <w:rPr>
          <w:rFonts w:ascii="宋体" w:hAnsi="宋体" w:cs="宋体"/>
          <w:sz w:val="24"/>
        </w:rPr>
        <w:t>7</w:t>
      </w:r>
      <w:r>
        <w:rPr>
          <w:rFonts w:hint="eastAsia" w:ascii="宋体" w:hAnsi="宋体" w:cs="宋体"/>
          <w:sz w:val="24"/>
        </w:rPr>
        <w:t>.投标人资质：</w:t>
      </w:r>
      <w:bookmarkStart w:id="5" w:name="PO_默认文件内容_15"/>
      <w:r>
        <w:rPr>
          <w:rFonts w:ascii="宋体" w:hAnsi="宋体" w:cs="宋体"/>
          <w:sz w:val="24"/>
        </w:rPr>
        <w:t>须具有</w:t>
      </w:r>
      <w:r>
        <w:rPr>
          <w:rFonts w:asciiTheme="minorEastAsia" w:hAnsiTheme="minorEastAsia" w:eastAsiaTheme="minorEastAsia"/>
          <w:color w:val="000000"/>
          <w:kern w:val="0"/>
          <w:sz w:val="24"/>
          <w:lang w:bidi="ar"/>
        </w:rPr>
        <w:t>消防</w:t>
      </w:r>
      <w:r>
        <w:rPr>
          <w:rFonts w:hint="eastAsia" w:asciiTheme="minorEastAsia" w:hAnsiTheme="minorEastAsia" w:eastAsiaTheme="minorEastAsia"/>
          <w:color w:val="000000"/>
          <w:kern w:val="0"/>
          <w:sz w:val="24"/>
          <w:lang w:bidi="ar"/>
        </w:rPr>
        <w:t>技术</w:t>
      </w:r>
      <w:r>
        <w:rPr>
          <w:rFonts w:asciiTheme="minorEastAsia" w:hAnsiTheme="minorEastAsia" w:eastAsiaTheme="minorEastAsia"/>
          <w:color w:val="000000"/>
          <w:kern w:val="0"/>
          <w:sz w:val="24"/>
          <w:lang w:bidi="ar"/>
        </w:rPr>
        <w:t>服务机构</w:t>
      </w:r>
      <w:r>
        <w:rPr>
          <w:rFonts w:ascii="宋体" w:hAnsi="宋体" w:cs="宋体"/>
          <w:sz w:val="24"/>
        </w:rPr>
        <w:t>贰级</w:t>
      </w:r>
      <w:r>
        <w:rPr>
          <w:rFonts w:hint="eastAsia" w:ascii="宋体" w:hAnsi="宋体" w:cs="宋体"/>
          <w:sz w:val="24"/>
        </w:rPr>
        <w:t>或</w:t>
      </w:r>
      <w:r>
        <w:rPr>
          <w:rFonts w:ascii="宋体" w:hAnsi="宋体" w:cs="宋体"/>
          <w:sz w:val="24"/>
        </w:rPr>
        <w:t>以上资质</w:t>
      </w:r>
      <w:r>
        <w:rPr>
          <w:rFonts w:hint="eastAsia" w:ascii="宋体" w:hAnsi="宋体" w:cs="宋体"/>
          <w:sz w:val="24"/>
        </w:rPr>
        <w:t>；</w:t>
      </w:r>
    </w:p>
    <w:bookmarkEnd w:id="5"/>
    <w:p>
      <w:pPr>
        <w:pStyle w:val="23"/>
        <w:spacing w:line="500" w:lineRule="exact"/>
        <w:ind w:firstLine="600" w:firstLineChars="250"/>
        <w:rPr>
          <w:rFonts w:ascii="宋体" w:hAnsi="宋体" w:cs="宋体"/>
          <w:sz w:val="24"/>
        </w:rPr>
      </w:pPr>
      <w:r>
        <w:rPr>
          <w:rFonts w:ascii="宋体" w:hAnsi="宋体" w:cs="宋体"/>
          <w:sz w:val="24"/>
        </w:rPr>
        <w:t>8</w:t>
      </w:r>
      <w:r>
        <w:rPr>
          <w:rFonts w:hint="eastAsia" w:ascii="宋体" w:hAnsi="宋体" w:cs="宋体"/>
          <w:sz w:val="24"/>
        </w:rPr>
        <w:t>.本项目</w:t>
      </w:r>
      <w:r>
        <w:rPr>
          <w:rFonts w:hint="eastAsia" w:ascii="宋体" w:hAnsi="宋体" w:cs="宋体"/>
          <w:b/>
          <w:bCs/>
          <w:sz w:val="24"/>
          <w:u w:val="single"/>
        </w:rPr>
        <w:t>不接受</w:t>
      </w:r>
      <w:r>
        <w:rPr>
          <w:rFonts w:hint="eastAsia" w:ascii="宋体" w:hAnsi="宋体" w:cs="宋体"/>
          <w:sz w:val="24"/>
        </w:rPr>
        <w:t>联合体投标。</w:t>
      </w:r>
    </w:p>
    <w:p>
      <w:pPr>
        <w:spacing w:after="50" w:line="500" w:lineRule="exact"/>
        <w:ind w:firstLine="482" w:firstLineChars="200"/>
        <w:rPr>
          <w:rFonts w:ascii="宋体" w:hAnsi="宋体" w:cs="宋体"/>
          <w:b/>
          <w:sz w:val="24"/>
        </w:rPr>
      </w:pPr>
      <w:r>
        <w:rPr>
          <w:rFonts w:hint="eastAsia" w:ascii="宋体" w:hAnsi="宋体" w:cs="宋体"/>
          <w:b/>
          <w:sz w:val="24"/>
        </w:rPr>
        <w:t>六、具有以下条件之一的投标人，禁止参加本次投标：</w:t>
      </w:r>
    </w:p>
    <w:p>
      <w:pPr>
        <w:tabs>
          <w:tab w:val="left" w:pos="7665"/>
        </w:tabs>
        <w:spacing w:line="500" w:lineRule="exact"/>
        <w:ind w:firstLine="600" w:firstLineChars="250"/>
        <w:rPr>
          <w:rFonts w:ascii="宋体" w:hAnsi="宋体" w:cs="宋体"/>
          <w:sz w:val="24"/>
        </w:rPr>
      </w:pPr>
      <w:r>
        <w:rPr>
          <w:rFonts w:hint="eastAsia" w:ascii="宋体" w:hAnsi="宋体" w:cs="宋体"/>
          <w:sz w:val="24"/>
        </w:rPr>
        <w:t>1.截止本项目投标截止时间，投标人处于投标限制期内的；</w:t>
      </w:r>
    </w:p>
    <w:p>
      <w:pPr>
        <w:tabs>
          <w:tab w:val="left" w:pos="7665"/>
        </w:tabs>
        <w:spacing w:line="500" w:lineRule="exact"/>
        <w:ind w:firstLine="600" w:firstLineChars="250"/>
        <w:rPr>
          <w:rFonts w:ascii="宋体" w:hAnsi="宋体" w:cs="宋体"/>
          <w:sz w:val="24"/>
        </w:rPr>
      </w:pPr>
      <w:r>
        <w:rPr>
          <w:rFonts w:hint="eastAsia" w:ascii="宋体" w:hAnsi="宋体" w:cs="宋体"/>
          <w:sz w:val="24"/>
        </w:rPr>
        <w:t>2.截止本项目投标截止时间，投标人被列入“信用中国”网站(www.creditchina.gov.cn)、“中国政府采购网”网站(www.ccgp.gov.cn)中任一网站的失信被执行人名单或重大税收违法案件当事人名单或政府采购严重违法失信行为记录名单的；</w:t>
      </w:r>
    </w:p>
    <w:p>
      <w:pPr>
        <w:tabs>
          <w:tab w:val="left" w:pos="7665"/>
        </w:tabs>
        <w:spacing w:line="500" w:lineRule="exact"/>
        <w:ind w:firstLine="600" w:firstLineChars="250"/>
        <w:rPr>
          <w:rFonts w:ascii="宋体" w:hAnsi="宋体" w:cs="宋体"/>
          <w:sz w:val="24"/>
        </w:rPr>
      </w:pPr>
      <w:r>
        <w:rPr>
          <w:rFonts w:hint="eastAsia" w:ascii="宋体" w:hAnsi="宋体" w:cs="宋体"/>
          <w:sz w:val="24"/>
        </w:rPr>
        <w:t>3.截止本项目投标截止时间，投标人被列入人民法院失信被执行人名单的；</w:t>
      </w:r>
    </w:p>
    <w:p>
      <w:pPr>
        <w:tabs>
          <w:tab w:val="left" w:pos="7665"/>
        </w:tabs>
        <w:spacing w:line="500" w:lineRule="exact"/>
        <w:ind w:firstLine="600" w:firstLineChars="250"/>
        <w:rPr>
          <w:rFonts w:ascii="宋体" w:hAnsi="宋体" w:cs="宋体"/>
          <w:b/>
          <w:sz w:val="24"/>
        </w:rPr>
      </w:pPr>
      <w:r>
        <w:rPr>
          <w:rFonts w:ascii="宋体" w:hAnsi="宋体" w:cs="宋体"/>
          <w:sz w:val="24"/>
        </w:rPr>
        <w:t>4</w:t>
      </w:r>
      <w:r>
        <w:rPr>
          <w:rFonts w:hint="eastAsia" w:ascii="宋体" w:hAnsi="宋体" w:cs="宋体"/>
          <w:sz w:val="24"/>
        </w:rPr>
        <w:t>.投标人具有招标文件规定的其他禁止投标情形的。</w:t>
      </w:r>
    </w:p>
    <w:p>
      <w:pPr>
        <w:spacing w:after="50" w:line="500" w:lineRule="exact"/>
        <w:ind w:firstLine="482" w:firstLineChars="200"/>
        <w:rPr>
          <w:rFonts w:ascii="宋体" w:hAnsi="宋体" w:cs="宋体"/>
          <w:b/>
          <w:sz w:val="24"/>
        </w:rPr>
      </w:pPr>
      <w:r>
        <w:rPr>
          <w:rFonts w:hint="eastAsia" w:ascii="宋体" w:hAnsi="宋体" w:cs="宋体"/>
          <w:b/>
          <w:sz w:val="24"/>
        </w:rPr>
        <w:t>七、招标文件获取时间、地点：</w:t>
      </w:r>
    </w:p>
    <w:p>
      <w:pPr>
        <w:pStyle w:val="30"/>
        <w:spacing w:line="500" w:lineRule="exact"/>
        <w:ind w:firstLine="482" w:firstLineChars="200"/>
        <w:rPr>
          <w:rFonts w:hAnsi="宋体" w:cs="宋体"/>
          <w:color w:val="000000"/>
          <w:kern w:val="2"/>
          <w:sz w:val="24"/>
          <w:szCs w:val="24"/>
        </w:rPr>
      </w:pPr>
      <w:r>
        <w:rPr>
          <w:rFonts w:hint="eastAsia" w:ascii="宋体" w:hAnsi="宋体" w:eastAsia="宋体" w:cs="宋体"/>
          <w:b/>
          <w:bCs/>
          <w:color w:val="000000"/>
          <w:kern w:val="2"/>
          <w:sz w:val="24"/>
          <w:szCs w:val="24"/>
          <w:lang w:val="en-US" w:eastAsia="zh-CN"/>
        </w:rPr>
        <w:t>报名</w:t>
      </w:r>
      <w:r>
        <w:rPr>
          <w:rFonts w:hint="eastAsia" w:ascii="宋体" w:hAnsi="宋体" w:eastAsia="宋体" w:cs="宋体"/>
          <w:b/>
          <w:bCs/>
          <w:color w:val="000000"/>
          <w:kern w:val="2"/>
          <w:sz w:val="24"/>
          <w:szCs w:val="24"/>
        </w:rPr>
        <w:t>时间</w:t>
      </w:r>
      <w:r>
        <w:rPr>
          <w:rFonts w:hint="eastAsia" w:hAnsi="宋体" w:cs="宋体"/>
          <w:color w:val="000000"/>
          <w:kern w:val="2"/>
          <w:sz w:val="24"/>
          <w:szCs w:val="24"/>
        </w:rPr>
        <w:t>：202</w:t>
      </w:r>
      <w:r>
        <w:rPr>
          <w:rFonts w:hint="eastAsia" w:hAnsi="宋体" w:cs="宋体"/>
          <w:color w:val="000000"/>
          <w:kern w:val="2"/>
          <w:sz w:val="24"/>
          <w:szCs w:val="24"/>
          <w:lang w:val="en-US" w:eastAsia="zh-CN"/>
        </w:rPr>
        <w:t>2</w:t>
      </w:r>
      <w:r>
        <w:rPr>
          <w:rFonts w:hint="eastAsia" w:hAnsi="宋体" w:cs="宋体"/>
          <w:color w:val="000000"/>
          <w:kern w:val="2"/>
          <w:sz w:val="24"/>
          <w:szCs w:val="24"/>
        </w:rPr>
        <w:t>年</w:t>
      </w:r>
      <w:r>
        <w:rPr>
          <w:rFonts w:hint="eastAsia" w:hAnsi="宋体" w:cs="宋体"/>
          <w:color w:val="000000"/>
          <w:kern w:val="2"/>
          <w:sz w:val="24"/>
          <w:szCs w:val="24"/>
          <w:lang w:val="en-US" w:eastAsia="zh-CN"/>
        </w:rPr>
        <w:t>07</w:t>
      </w:r>
      <w:r>
        <w:rPr>
          <w:rFonts w:hint="eastAsia" w:hAnsi="宋体" w:cs="宋体"/>
          <w:color w:val="000000"/>
          <w:kern w:val="2"/>
          <w:sz w:val="24"/>
          <w:szCs w:val="24"/>
        </w:rPr>
        <w:t>月</w:t>
      </w:r>
      <w:r>
        <w:rPr>
          <w:rFonts w:hint="eastAsia" w:hAnsi="宋体" w:cs="宋体"/>
          <w:color w:val="000000"/>
          <w:kern w:val="2"/>
          <w:sz w:val="24"/>
          <w:szCs w:val="24"/>
          <w:lang w:val="en-US" w:eastAsia="zh-CN"/>
        </w:rPr>
        <w:t>11</w:t>
      </w:r>
      <w:r>
        <w:rPr>
          <w:rFonts w:hint="eastAsia" w:hAnsi="宋体" w:cs="宋体"/>
          <w:color w:val="000000"/>
          <w:kern w:val="2"/>
          <w:sz w:val="24"/>
          <w:szCs w:val="24"/>
        </w:rPr>
        <w:t xml:space="preserve"> 日至2021年 </w:t>
      </w:r>
      <w:r>
        <w:rPr>
          <w:rFonts w:hint="eastAsia" w:hAnsi="宋体" w:cs="宋体"/>
          <w:color w:val="000000"/>
          <w:kern w:val="2"/>
          <w:sz w:val="24"/>
          <w:szCs w:val="24"/>
          <w:lang w:val="en-US" w:eastAsia="zh-CN"/>
        </w:rPr>
        <w:t>07</w:t>
      </w:r>
      <w:r>
        <w:rPr>
          <w:rFonts w:hint="eastAsia" w:hAnsi="宋体" w:cs="宋体"/>
          <w:color w:val="000000"/>
          <w:kern w:val="2"/>
          <w:sz w:val="24"/>
          <w:szCs w:val="24"/>
        </w:rPr>
        <w:t xml:space="preserve"> 月</w:t>
      </w:r>
      <w:r>
        <w:rPr>
          <w:rFonts w:hint="eastAsia" w:hAnsi="宋体" w:cs="宋体"/>
          <w:color w:val="000000"/>
          <w:kern w:val="2"/>
          <w:sz w:val="24"/>
          <w:szCs w:val="24"/>
          <w:lang w:val="en-US" w:eastAsia="zh-CN"/>
        </w:rPr>
        <w:t>13</w:t>
      </w:r>
      <w:r>
        <w:rPr>
          <w:rFonts w:hint="eastAsia" w:hAnsi="宋体" w:cs="宋体"/>
          <w:color w:val="000000"/>
          <w:kern w:val="2"/>
          <w:sz w:val="24"/>
          <w:szCs w:val="24"/>
        </w:rPr>
        <w:t>日上午9:00-12:00，下午15:00-17:30（北京时间，节假日除外）。</w:t>
      </w:r>
    </w:p>
    <w:p>
      <w:pPr>
        <w:pStyle w:val="30"/>
        <w:spacing w:line="500" w:lineRule="exact"/>
        <w:ind w:firstLine="482" w:firstLineChars="200"/>
        <w:rPr>
          <w:rFonts w:hint="eastAsia" w:ascii="宋体" w:hAnsi="宋体" w:eastAsia="宋体" w:cs="宋体"/>
          <w:color w:val="000000"/>
          <w:kern w:val="2"/>
          <w:sz w:val="24"/>
          <w:szCs w:val="24"/>
        </w:rPr>
      </w:pPr>
      <w:r>
        <w:rPr>
          <w:rFonts w:hint="eastAsia" w:hAnsi="宋体" w:cs="宋体"/>
          <w:b/>
          <w:bCs/>
          <w:color w:val="000000"/>
          <w:kern w:val="2"/>
          <w:sz w:val="24"/>
          <w:szCs w:val="24"/>
        </w:rPr>
        <w:t>报名资料</w:t>
      </w:r>
      <w:r>
        <w:rPr>
          <w:rFonts w:hint="eastAsia" w:hAnsi="宋体" w:cs="宋体"/>
          <w:color w:val="000000"/>
          <w:kern w:val="2"/>
          <w:sz w:val="24"/>
          <w:szCs w:val="24"/>
        </w:rPr>
        <w:t>：</w:t>
      </w:r>
      <w:r>
        <w:rPr>
          <w:rFonts w:hint="eastAsia" w:ascii="宋体" w:hAnsi="宋体" w:eastAsia="宋体" w:cs="宋体"/>
          <w:color w:val="000000"/>
          <w:kern w:val="2"/>
          <w:sz w:val="24"/>
          <w:szCs w:val="24"/>
          <w:lang w:val="en-US" w:eastAsia="zh-CN"/>
        </w:rPr>
        <w:t>获取磋商文件时，经办人员应填写“南江县妇幼保健院消防系统、设施维保服务采购项目报名表”加盖鲜章（见附件），并提交以下资料：企业营业执照；法人代表授权书和授权代表身份证（以上材料需加盖鲜章）。所有资料以扫描件形式发送到邮箱：</w:t>
      </w:r>
      <w:r>
        <w:rPr>
          <w:rFonts w:hint="eastAsia" w:ascii="宋体" w:hAnsi="宋体" w:eastAsia="宋体" w:cs="宋体"/>
          <w:color w:val="000000"/>
          <w:kern w:val="2"/>
          <w:sz w:val="24"/>
          <w:szCs w:val="24"/>
          <w:lang w:val="en-US" w:eastAsia="zh-CN"/>
        </w:rPr>
        <w:fldChar w:fldCharType="begin"/>
      </w:r>
      <w:r>
        <w:rPr>
          <w:rFonts w:hint="eastAsia" w:ascii="宋体" w:hAnsi="宋体" w:eastAsia="宋体" w:cs="宋体"/>
          <w:color w:val="000000"/>
          <w:kern w:val="2"/>
          <w:sz w:val="24"/>
          <w:szCs w:val="24"/>
          <w:lang w:val="en-US" w:eastAsia="zh-CN"/>
        </w:rPr>
        <w:instrText xml:space="preserve"> HYPERLINK "mailto:3684892@qq.com" </w:instrText>
      </w:r>
      <w:r>
        <w:rPr>
          <w:rFonts w:hint="eastAsia" w:ascii="宋体" w:hAnsi="宋体" w:eastAsia="宋体" w:cs="宋体"/>
          <w:color w:val="000000"/>
          <w:kern w:val="2"/>
          <w:sz w:val="24"/>
          <w:szCs w:val="24"/>
          <w:lang w:val="en-US" w:eastAsia="zh-CN"/>
        </w:rPr>
        <w:fldChar w:fldCharType="separate"/>
      </w:r>
      <w:r>
        <w:rPr>
          <w:rFonts w:hint="eastAsia" w:ascii="宋体" w:hAnsi="宋体" w:eastAsia="宋体" w:cs="宋体"/>
          <w:color w:val="000000"/>
          <w:kern w:val="2"/>
          <w:sz w:val="24"/>
          <w:szCs w:val="24"/>
          <w:lang w:val="en-US" w:eastAsia="zh-CN"/>
        </w:rPr>
        <w:t>3684892@qq.com</w:t>
      </w:r>
      <w:r>
        <w:rPr>
          <w:rFonts w:hint="eastAsia" w:ascii="宋体" w:hAnsi="宋体" w:eastAsia="宋体" w:cs="宋体"/>
          <w:color w:val="000000"/>
          <w:kern w:val="2"/>
          <w:sz w:val="24"/>
          <w:szCs w:val="24"/>
          <w:lang w:val="en-US" w:eastAsia="zh-CN"/>
        </w:rPr>
        <w:fldChar w:fldCharType="end"/>
      </w:r>
      <w:r>
        <w:rPr>
          <w:rFonts w:hint="eastAsia" w:ascii="宋体" w:hAnsi="宋体" w:eastAsia="宋体" w:cs="宋体"/>
          <w:color w:val="000000"/>
          <w:kern w:val="2"/>
          <w:sz w:val="24"/>
          <w:szCs w:val="24"/>
          <w:lang w:val="en-US" w:eastAsia="zh-CN"/>
        </w:rPr>
        <w:t xml:space="preserve"> 。</w:t>
      </w:r>
    </w:p>
    <w:p>
      <w:pPr>
        <w:spacing w:line="500" w:lineRule="exact"/>
        <w:ind w:firstLine="482" w:firstLineChars="200"/>
        <w:rPr>
          <w:rFonts w:ascii="宋体" w:hAnsi="宋体" w:cs="宋体"/>
          <w:color w:val="000000"/>
          <w:sz w:val="24"/>
        </w:rPr>
      </w:pPr>
      <w:r>
        <w:rPr>
          <w:rFonts w:hint="eastAsia" w:ascii="宋体" w:hAnsi="宋体" w:cs="宋体"/>
          <w:b/>
          <w:bCs/>
          <w:color w:val="000000"/>
          <w:sz w:val="24"/>
        </w:rPr>
        <w:t>招标文件获取方式</w:t>
      </w:r>
      <w:r>
        <w:rPr>
          <w:rFonts w:hint="eastAsia" w:ascii="宋体" w:hAnsi="宋体" w:cs="宋体"/>
          <w:color w:val="000000"/>
          <w:sz w:val="24"/>
        </w:rPr>
        <w:t>：</w:t>
      </w:r>
      <w:r>
        <w:rPr>
          <w:rFonts w:hint="eastAsia" w:ascii="宋体" w:hAnsi="宋体" w:cs="宋体"/>
          <w:b/>
          <w:bCs/>
          <w:sz w:val="24"/>
        </w:rPr>
        <w:t>网上</w:t>
      </w:r>
      <w:r>
        <w:rPr>
          <w:rFonts w:hint="eastAsia" w:ascii="宋体" w:hAnsi="宋体" w:cs="宋体"/>
          <w:b/>
          <w:bCs/>
          <w:sz w:val="24"/>
          <w:lang w:val="en-US" w:eastAsia="zh-CN"/>
        </w:rPr>
        <w:t>免费</w:t>
      </w:r>
      <w:r>
        <w:rPr>
          <w:rFonts w:hint="eastAsia" w:ascii="宋体" w:hAnsi="宋体" w:cs="宋体"/>
          <w:b/>
          <w:bCs/>
          <w:sz w:val="24"/>
        </w:rPr>
        <w:t>获取。</w:t>
      </w:r>
    </w:p>
    <w:p>
      <w:pPr>
        <w:spacing w:after="120" w:afterLines="50" w:line="500" w:lineRule="exact"/>
        <w:ind w:firstLine="482" w:firstLineChars="200"/>
        <w:rPr>
          <w:rFonts w:ascii="宋体" w:hAnsi="宋体" w:cs="宋体"/>
          <w:sz w:val="24"/>
        </w:rPr>
      </w:pPr>
      <w:r>
        <w:rPr>
          <w:rFonts w:hint="eastAsia" w:ascii="宋体" w:hAnsi="宋体" w:cs="宋体"/>
          <w:b/>
          <w:bCs/>
          <w:color w:val="000000"/>
          <w:sz w:val="24"/>
        </w:rPr>
        <w:t>网上获取</w:t>
      </w:r>
      <w:r>
        <w:rPr>
          <w:rFonts w:hint="eastAsia" w:ascii="宋体" w:hAnsi="宋体" w:cs="宋体"/>
          <w:color w:val="000000"/>
          <w:sz w:val="24"/>
        </w:rPr>
        <w:t>：供应商将以上报名资料</w:t>
      </w:r>
      <w:r>
        <w:rPr>
          <w:rFonts w:hint="eastAsia" w:ascii="宋体" w:hAnsi="宋体" w:cs="宋体"/>
          <w:sz w:val="24"/>
        </w:rPr>
        <w:t xml:space="preserve">发送至邮箱 </w:t>
      </w:r>
      <w:r>
        <w:rPr>
          <w:rFonts w:hint="eastAsia" w:ascii="宋体" w:hAnsi="宋体" w:cs="宋体"/>
          <w:sz w:val="24"/>
          <w:lang w:val="en-US" w:eastAsia="zh-CN"/>
        </w:rPr>
        <w:t>3684892</w:t>
      </w:r>
      <w:r>
        <w:rPr>
          <w:rFonts w:hint="eastAsia" w:ascii="宋体" w:hAnsi="宋体" w:cs="宋体"/>
          <w:sz w:val="24"/>
        </w:rPr>
        <w:t>@qq.com，如未收到回函，请及时联系（联系人：</w:t>
      </w:r>
      <w:r>
        <w:rPr>
          <w:rFonts w:hint="eastAsia" w:ascii="宋体" w:hAnsi="宋体" w:cs="宋体"/>
          <w:sz w:val="24"/>
          <w:lang w:val="en-US" w:eastAsia="zh-CN"/>
        </w:rPr>
        <w:t>唐先生</w:t>
      </w:r>
      <w:r>
        <w:rPr>
          <w:rFonts w:hint="eastAsia" w:ascii="宋体" w:hAnsi="宋体" w:cs="宋体"/>
          <w:sz w:val="24"/>
        </w:rPr>
        <w:t>，联系电话：1</w:t>
      </w:r>
      <w:r>
        <w:rPr>
          <w:rFonts w:hint="eastAsia" w:ascii="宋体" w:hAnsi="宋体" w:cs="宋体"/>
          <w:sz w:val="24"/>
          <w:lang w:val="en-US" w:eastAsia="zh-CN"/>
        </w:rPr>
        <w:t>5681669696</w:t>
      </w:r>
      <w:r>
        <w:rPr>
          <w:rFonts w:hint="eastAsia" w:ascii="宋体" w:hAnsi="宋体" w:cs="宋体"/>
          <w:sz w:val="24"/>
        </w:rPr>
        <w:t>）。</w:t>
      </w:r>
    </w:p>
    <w:p>
      <w:pPr>
        <w:spacing w:line="500" w:lineRule="exact"/>
        <w:ind w:firstLine="482" w:firstLineChars="200"/>
        <w:rPr>
          <w:rFonts w:ascii="宋体" w:hAnsi="宋体" w:cs="宋体"/>
          <w:b/>
          <w:color w:val="000000"/>
          <w:sz w:val="24"/>
        </w:rPr>
      </w:pPr>
      <w:r>
        <w:rPr>
          <w:rFonts w:hint="eastAsia" w:ascii="宋体" w:hAnsi="宋体" w:cs="宋体"/>
          <w:b/>
          <w:sz w:val="24"/>
          <w:szCs w:val="28"/>
        </w:rPr>
        <w:t>八、</w:t>
      </w:r>
      <w:r>
        <w:rPr>
          <w:rFonts w:hint="eastAsia" w:ascii="宋体" w:hAnsi="宋体" w:cs="宋体"/>
          <w:b/>
          <w:color w:val="000000"/>
          <w:sz w:val="24"/>
        </w:rPr>
        <w:t xml:space="preserve">递交投标文件截止时间及开标时间、地点：      </w:t>
      </w:r>
    </w:p>
    <w:p>
      <w:pPr>
        <w:adjustRightInd w:val="0"/>
        <w:snapToGrid w:val="0"/>
        <w:spacing w:line="500" w:lineRule="exact"/>
        <w:ind w:firstLine="480" w:firstLineChars="200"/>
        <w:rPr>
          <w:rFonts w:ascii="宋体" w:hAnsi="宋体" w:cs="宋体"/>
          <w:sz w:val="24"/>
        </w:rPr>
      </w:pPr>
      <w:r>
        <w:rPr>
          <w:rFonts w:hint="eastAsia" w:ascii="宋体" w:hAnsi="宋体" w:cs="宋体"/>
          <w:sz w:val="24"/>
        </w:rPr>
        <w:t>截止时间：详见投标人须知前附表。</w:t>
      </w:r>
    </w:p>
    <w:p>
      <w:pPr>
        <w:pStyle w:val="30"/>
        <w:spacing w:line="500" w:lineRule="exact"/>
        <w:ind w:firstLine="480" w:firstLineChars="200"/>
        <w:rPr>
          <w:rFonts w:hAnsi="宋体" w:cs="宋体"/>
          <w:sz w:val="24"/>
        </w:rPr>
      </w:pPr>
      <w:r>
        <w:rPr>
          <w:rFonts w:hint="eastAsia" w:hAnsi="宋体" w:cs="宋体"/>
          <w:sz w:val="24"/>
        </w:rPr>
        <w:t>地址：</w:t>
      </w:r>
      <w:r>
        <w:rPr>
          <w:rFonts w:hint="eastAsia" w:hAnsi="宋体" w:cs="宋体"/>
          <w:b/>
          <w:bCs/>
          <w:sz w:val="24"/>
          <w:u w:val="single"/>
          <w:lang w:val="en-US" w:eastAsia="zh-CN"/>
        </w:rPr>
        <w:t>南江县妇幼保健院第二综合大楼十四楼会议室（南江县集州街道米仓山大道文庙滨河路168号）。</w:t>
      </w:r>
      <w:r>
        <w:rPr>
          <w:rFonts w:hint="eastAsia" w:hAnsi="宋体" w:cs="宋体"/>
          <w:sz w:val="24"/>
        </w:rPr>
        <w:t xml:space="preserve"> </w:t>
      </w:r>
    </w:p>
    <w:p>
      <w:pPr>
        <w:spacing w:line="500" w:lineRule="exact"/>
        <w:ind w:firstLine="480" w:firstLineChars="200"/>
        <w:rPr>
          <w:rFonts w:ascii="宋体" w:hAnsi="宋体" w:cs="宋体"/>
          <w:color w:val="000000"/>
          <w:sz w:val="24"/>
        </w:rPr>
      </w:pPr>
      <w:r>
        <w:rPr>
          <w:rFonts w:hint="eastAsia" w:ascii="宋体" w:hAnsi="宋体" w:cs="宋体"/>
          <w:sz w:val="24"/>
        </w:rPr>
        <w:t>投</w:t>
      </w:r>
      <w:r>
        <w:rPr>
          <w:rFonts w:hint="eastAsia" w:ascii="宋体" w:hAnsi="宋体" w:cs="宋体"/>
          <w:color w:val="000000"/>
          <w:sz w:val="24"/>
        </w:rPr>
        <w:t>标文件必须在投标截止时间前送达开标地点。逾期送达的投标文件恕不接收。本次招标不接受邮寄的投标文件。</w:t>
      </w:r>
    </w:p>
    <w:p>
      <w:pPr>
        <w:adjustRightInd w:val="0"/>
        <w:snapToGrid w:val="0"/>
        <w:spacing w:line="500" w:lineRule="exact"/>
        <w:ind w:right="31" w:rightChars="15" w:firstLine="482" w:firstLineChars="200"/>
        <w:rPr>
          <w:rFonts w:ascii="宋体" w:hAnsi="宋体" w:cs="宋体"/>
          <w:b/>
          <w:sz w:val="24"/>
        </w:rPr>
      </w:pPr>
      <w:r>
        <w:rPr>
          <w:rFonts w:hint="eastAsia" w:ascii="宋体" w:hAnsi="宋体" w:cs="宋体"/>
          <w:b/>
          <w:sz w:val="24"/>
          <w:szCs w:val="28"/>
        </w:rPr>
        <w:t>九、</w:t>
      </w:r>
      <w:r>
        <w:rPr>
          <w:rFonts w:hint="eastAsia" w:ascii="宋体" w:hAnsi="宋体" w:cs="宋体"/>
          <w:bCs/>
          <w:sz w:val="24"/>
        </w:rPr>
        <w:t>本招标公告在</w:t>
      </w:r>
      <w:r>
        <w:rPr>
          <w:rFonts w:hint="eastAsia" w:ascii="宋体" w:hAnsi="宋体" w:cs="宋体"/>
          <w:b/>
          <w:kern w:val="0"/>
          <w:sz w:val="24"/>
          <w:u w:val="single"/>
          <w:lang w:val="en-US" w:eastAsia="zh-CN"/>
        </w:rPr>
        <w:t>南江县妇幼保健院官网（http://www.njfyy.cn）</w:t>
      </w:r>
      <w:r>
        <w:rPr>
          <w:rFonts w:hint="eastAsia" w:ascii="宋体" w:hAnsi="宋体" w:cs="宋体"/>
          <w:bCs/>
          <w:sz w:val="24"/>
        </w:rPr>
        <w:t>上以公告形式发布。</w:t>
      </w:r>
    </w:p>
    <w:p>
      <w:pPr>
        <w:pStyle w:val="16"/>
        <w:ind w:firstLine="0" w:firstLineChars="0"/>
      </w:pPr>
    </w:p>
    <w:p>
      <w:pPr>
        <w:spacing w:line="480" w:lineRule="exact"/>
        <w:ind w:firstLine="482" w:firstLineChars="200"/>
        <w:rPr>
          <w:rFonts w:ascii="宋体" w:hAnsi="宋体" w:cs="宋体"/>
          <w:b/>
          <w:color w:val="000000"/>
          <w:sz w:val="24"/>
          <w:u w:val="single"/>
        </w:rPr>
      </w:pPr>
      <w:r>
        <w:rPr>
          <w:rFonts w:hint="eastAsia" w:ascii="宋体" w:hAnsi="宋体" w:cs="宋体"/>
          <w:b/>
          <w:color w:val="000000"/>
          <w:sz w:val="24"/>
        </w:rPr>
        <w:t>十、采购人：</w:t>
      </w:r>
    </w:p>
    <w:p>
      <w:pPr>
        <w:adjustRightInd w:val="0"/>
        <w:snapToGrid w:val="0"/>
        <w:spacing w:line="480" w:lineRule="exact"/>
        <w:ind w:firstLine="480" w:firstLineChars="200"/>
        <w:rPr>
          <w:rFonts w:ascii="宋体" w:hAnsi="宋体" w:cs="宋体"/>
          <w:color w:val="000000"/>
          <w:sz w:val="24"/>
        </w:rPr>
      </w:pPr>
      <w:r>
        <w:rPr>
          <w:rFonts w:hint="eastAsia" w:ascii="宋体" w:hAnsi="宋体" w:cs="宋体"/>
          <w:color w:val="000000"/>
          <w:sz w:val="24"/>
        </w:rPr>
        <w:t>采购人：</w:t>
      </w:r>
      <w:r>
        <w:rPr>
          <w:rFonts w:hint="eastAsia" w:ascii="宋体" w:hAnsi="宋体" w:cs="宋体"/>
          <w:color w:val="000000"/>
          <w:sz w:val="24"/>
          <w:lang w:val="en-US" w:eastAsia="zh-CN"/>
        </w:rPr>
        <w:t>南江县妇幼保健院</w:t>
      </w:r>
      <w:r>
        <w:rPr>
          <w:rFonts w:hint="eastAsia" w:ascii="宋体" w:hAnsi="宋体" w:cs="宋体"/>
          <w:color w:val="000000"/>
          <w:sz w:val="24"/>
        </w:rPr>
        <w:t xml:space="preserve"> </w:t>
      </w:r>
    </w:p>
    <w:p>
      <w:pPr>
        <w:adjustRightInd w:val="0"/>
        <w:snapToGrid w:val="0"/>
        <w:spacing w:line="480" w:lineRule="exact"/>
        <w:ind w:firstLine="480" w:firstLineChars="200"/>
        <w:rPr>
          <w:rFonts w:hint="eastAsia" w:ascii="宋体" w:hAnsi="宋体" w:cs="宋体"/>
          <w:color w:val="000000"/>
          <w:sz w:val="24"/>
          <w:lang w:val="en-US" w:eastAsia="zh-CN"/>
        </w:rPr>
      </w:pPr>
      <w:r>
        <w:rPr>
          <w:rFonts w:hint="eastAsia" w:ascii="宋体" w:hAnsi="宋体" w:cs="宋体"/>
          <w:color w:val="000000"/>
          <w:sz w:val="24"/>
        </w:rPr>
        <w:t>地</w:t>
      </w:r>
      <w:r>
        <w:rPr>
          <w:rFonts w:hint="eastAsia" w:ascii="宋体" w:hAnsi="宋体" w:cs="宋体"/>
          <w:color w:val="000000"/>
          <w:sz w:val="24"/>
          <w:lang w:val="en-US" w:eastAsia="zh-CN"/>
        </w:rPr>
        <w:t xml:space="preserve">  </w:t>
      </w:r>
      <w:r>
        <w:rPr>
          <w:rFonts w:hint="eastAsia" w:ascii="宋体" w:hAnsi="宋体" w:cs="宋体"/>
          <w:color w:val="000000"/>
          <w:sz w:val="24"/>
        </w:rPr>
        <w:t>址：</w:t>
      </w:r>
      <w:r>
        <w:rPr>
          <w:rFonts w:hint="eastAsia" w:ascii="宋体" w:hAnsi="宋体" w:cs="宋体"/>
          <w:color w:val="000000"/>
          <w:sz w:val="24"/>
          <w:lang w:val="en-US" w:eastAsia="zh-CN"/>
        </w:rPr>
        <w:t>南江县集州街道米仓山大道文庙滨河路168号</w:t>
      </w:r>
    </w:p>
    <w:p>
      <w:pPr>
        <w:adjustRightInd w:val="0"/>
        <w:snapToGrid w:val="0"/>
        <w:spacing w:line="480" w:lineRule="exact"/>
        <w:ind w:firstLine="480" w:firstLineChars="200"/>
        <w:rPr>
          <w:rFonts w:ascii="宋体" w:hAnsi="宋体" w:cs="宋体"/>
          <w:color w:val="000000"/>
          <w:sz w:val="24"/>
        </w:rPr>
      </w:pPr>
      <w:r>
        <w:rPr>
          <w:rFonts w:hint="eastAsia" w:ascii="宋体" w:hAnsi="宋体" w:cs="宋体"/>
          <w:color w:val="000000"/>
          <w:sz w:val="24"/>
        </w:rPr>
        <w:t>联系人：</w:t>
      </w:r>
      <w:r>
        <w:rPr>
          <w:rFonts w:hint="eastAsia" w:ascii="宋体" w:hAnsi="宋体" w:cs="宋体"/>
          <w:color w:val="000000"/>
          <w:sz w:val="24"/>
          <w:lang w:val="en-US" w:eastAsia="zh-CN"/>
        </w:rPr>
        <w:t>唐</w:t>
      </w:r>
      <w:r>
        <w:rPr>
          <w:rFonts w:hint="eastAsia" w:ascii="宋体" w:hAnsi="宋体" w:cs="宋体"/>
          <w:color w:val="000000"/>
          <w:sz w:val="24"/>
        </w:rPr>
        <w:t>先生</w:t>
      </w:r>
    </w:p>
    <w:p>
      <w:pPr>
        <w:adjustRightInd w:val="0"/>
        <w:snapToGrid w:val="0"/>
        <w:spacing w:line="48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联系电话：</w:t>
      </w:r>
      <w:r>
        <w:rPr>
          <w:rFonts w:hint="eastAsia" w:ascii="宋体" w:hAnsi="宋体" w:cs="宋体"/>
          <w:color w:val="000000"/>
          <w:sz w:val="24"/>
          <w:lang w:val="en-US" w:eastAsia="zh-CN"/>
        </w:rPr>
        <w:t>15681669696</w:t>
      </w:r>
    </w:p>
    <w:p>
      <w:pPr>
        <w:spacing w:line="480" w:lineRule="exact"/>
        <w:ind w:firstLine="482" w:firstLineChars="200"/>
        <w:rPr>
          <w:rFonts w:ascii="宋体" w:hAnsi="宋体" w:cs="宋体"/>
          <w:b/>
          <w:sz w:val="24"/>
        </w:rPr>
      </w:pPr>
    </w:p>
    <w:p>
      <w:pPr>
        <w:adjustRightInd w:val="0"/>
        <w:snapToGrid w:val="0"/>
        <w:spacing w:line="480" w:lineRule="exact"/>
        <w:ind w:firstLine="482" w:firstLineChars="200"/>
        <w:rPr>
          <w:rFonts w:ascii="宋体" w:hAnsi="宋体" w:cs="宋体"/>
          <w:b/>
          <w:color w:val="000000"/>
          <w:sz w:val="24"/>
        </w:rPr>
      </w:pPr>
      <w:r>
        <w:rPr>
          <w:rFonts w:hint="eastAsia" w:ascii="宋体" w:hAnsi="宋体" w:cs="宋体"/>
          <w:b/>
          <w:color w:val="000000"/>
          <w:sz w:val="24"/>
        </w:rPr>
        <w:t>采购人对本次招标活动及相关的文件资料拥有最终的解释权。</w:t>
      </w:r>
    </w:p>
    <w:p>
      <w:pPr>
        <w:pStyle w:val="16"/>
        <w:spacing w:line="480" w:lineRule="exact"/>
        <w:ind w:firstLine="340"/>
      </w:pPr>
    </w:p>
    <w:p>
      <w:pPr>
        <w:pStyle w:val="15"/>
        <w:spacing w:after="50" w:afterAutospacing="0" w:line="480" w:lineRule="exact"/>
        <w:ind w:firstLine="5662" w:firstLineChars="2350"/>
        <w:jc w:val="center"/>
        <w:rPr>
          <w:rFonts w:hAnsi="宋体" w:cs="宋体"/>
          <w:b/>
          <w:bCs/>
          <w:sz w:val="24"/>
          <w:szCs w:val="24"/>
        </w:rPr>
      </w:pPr>
      <w:r>
        <w:rPr>
          <w:rFonts w:hint="eastAsia" w:hAnsi="宋体" w:cs="宋体"/>
          <w:b/>
          <w:bCs/>
          <w:sz w:val="24"/>
          <w:szCs w:val="24"/>
        </w:rPr>
        <w:t>202</w:t>
      </w:r>
      <w:r>
        <w:rPr>
          <w:rFonts w:hint="eastAsia" w:hAnsi="宋体" w:cs="宋体"/>
          <w:b/>
          <w:bCs/>
          <w:sz w:val="24"/>
          <w:szCs w:val="24"/>
          <w:lang w:val="en-US" w:eastAsia="zh-CN"/>
        </w:rPr>
        <w:t>2</w:t>
      </w:r>
      <w:r>
        <w:rPr>
          <w:rFonts w:hint="eastAsia" w:hAnsi="宋体" w:cs="宋体"/>
          <w:b/>
          <w:bCs/>
          <w:sz w:val="24"/>
          <w:szCs w:val="24"/>
        </w:rPr>
        <w:t>年0</w:t>
      </w:r>
      <w:r>
        <w:rPr>
          <w:rFonts w:hint="eastAsia" w:hAnsi="宋体" w:cs="宋体"/>
          <w:b/>
          <w:bCs/>
          <w:sz w:val="24"/>
          <w:szCs w:val="24"/>
          <w:lang w:val="en-US" w:eastAsia="zh-CN"/>
        </w:rPr>
        <w:t>7</w:t>
      </w:r>
      <w:r>
        <w:rPr>
          <w:rFonts w:hint="eastAsia" w:hAnsi="宋体" w:cs="宋体"/>
          <w:b/>
          <w:bCs/>
          <w:sz w:val="24"/>
          <w:szCs w:val="24"/>
        </w:rPr>
        <w:t>月</w:t>
      </w:r>
      <w:bookmarkStart w:id="6" w:name="_Toc29315_WPSOffice_Level1"/>
      <w:bookmarkStart w:id="7" w:name="_Toc213496267"/>
      <w:bookmarkStart w:id="8" w:name="_Toc213396945"/>
      <w:bookmarkStart w:id="9" w:name="_Toc213396759"/>
      <w:bookmarkStart w:id="10" w:name="_Toc217446031"/>
      <w:bookmarkStart w:id="11" w:name="_Toc213397009"/>
    </w:p>
    <w:p>
      <w:pPr>
        <w:pStyle w:val="16"/>
        <w:ind w:firstLine="0" w:firstLineChars="0"/>
        <w:rPr>
          <w:rFonts w:ascii="宋体" w:hAnsi="宋体" w:cs="宋体"/>
          <w:szCs w:val="28"/>
        </w:rPr>
      </w:pPr>
      <w:bookmarkStart w:id="12" w:name="_Toc23668_WPSOffice_Level1"/>
      <w:bookmarkStart w:id="13" w:name="_Toc13966"/>
      <w:bookmarkStart w:id="14" w:name="_Toc12953"/>
    </w:p>
    <w:p>
      <w:pPr>
        <w:pStyle w:val="5"/>
        <w:spacing w:line="360" w:lineRule="exact"/>
        <w:jc w:val="center"/>
        <w:outlineLvl w:val="9"/>
        <w:rPr>
          <w:rFonts w:ascii="宋体" w:hAnsi="宋体" w:eastAsia="宋体" w:cs="宋体"/>
          <w:szCs w:val="28"/>
        </w:rPr>
      </w:pPr>
    </w:p>
    <w:p>
      <w:pPr>
        <w:pStyle w:val="5"/>
        <w:spacing w:line="360" w:lineRule="exact"/>
        <w:jc w:val="center"/>
        <w:outlineLvl w:val="9"/>
        <w:rPr>
          <w:rFonts w:ascii="宋体" w:hAnsi="宋体" w:eastAsia="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3"/>
        <w:rPr>
          <w:rFonts w:ascii="宋体" w:hAnsi="宋体" w:cs="宋体"/>
          <w:szCs w:val="28"/>
        </w:rPr>
      </w:pPr>
    </w:p>
    <w:p>
      <w:pPr>
        <w:rPr>
          <w:rFonts w:ascii="宋体" w:hAnsi="宋体" w:cs="宋体"/>
          <w:szCs w:val="28"/>
        </w:rPr>
      </w:pPr>
    </w:p>
    <w:p>
      <w:pPr>
        <w:pStyle w:val="2"/>
        <w:rPr>
          <w:rFonts w:ascii="宋体" w:hAnsi="宋体" w:cs="宋体"/>
          <w:szCs w:val="28"/>
        </w:rPr>
      </w:pPr>
    </w:p>
    <w:p>
      <w:pPr>
        <w:pStyle w:val="3"/>
      </w:pPr>
    </w:p>
    <w:p>
      <w:pPr>
        <w:pStyle w:val="5"/>
        <w:spacing w:line="360" w:lineRule="exact"/>
        <w:outlineLvl w:val="9"/>
        <w:rPr>
          <w:rFonts w:ascii="宋体" w:hAnsi="宋体" w:eastAsia="宋体" w:cs="宋体"/>
          <w:szCs w:val="28"/>
        </w:rPr>
      </w:pPr>
    </w:p>
    <w:p/>
    <w:p>
      <w:pPr>
        <w:pStyle w:val="16"/>
        <w:ind w:firstLine="0" w:firstLineChars="0"/>
      </w:pPr>
    </w:p>
    <w:p>
      <w:pPr>
        <w:pStyle w:val="5"/>
        <w:spacing w:line="360" w:lineRule="exact"/>
        <w:jc w:val="center"/>
        <w:outlineLvl w:val="0"/>
        <w:rPr>
          <w:rFonts w:ascii="宋体" w:hAnsi="宋体" w:eastAsia="宋体" w:cs="宋体"/>
          <w:szCs w:val="28"/>
        </w:rPr>
      </w:pPr>
      <w:bookmarkStart w:id="15" w:name="_Toc26139"/>
      <w:r>
        <w:rPr>
          <w:rFonts w:hint="eastAsia" w:ascii="宋体" w:hAnsi="宋体" w:eastAsia="宋体" w:cs="宋体"/>
          <w:szCs w:val="28"/>
        </w:rPr>
        <w:t>第二章  投标人须知</w:t>
      </w:r>
      <w:bookmarkEnd w:id="6"/>
      <w:bookmarkEnd w:id="12"/>
      <w:bookmarkEnd w:id="13"/>
      <w:bookmarkEnd w:id="14"/>
      <w:bookmarkEnd w:id="15"/>
    </w:p>
    <w:p>
      <w:pPr>
        <w:numPr>
          <w:ilvl w:val="0"/>
          <w:numId w:val="1"/>
        </w:numPr>
        <w:jc w:val="center"/>
        <w:rPr>
          <w:rFonts w:ascii="宋体" w:hAnsi="宋体" w:cs="宋体"/>
          <w:b/>
          <w:color w:val="000000"/>
          <w:sz w:val="24"/>
        </w:rPr>
      </w:pPr>
      <w:r>
        <w:rPr>
          <w:rFonts w:hint="eastAsia" w:ascii="宋体" w:hAnsi="宋体" w:cs="宋体"/>
          <w:b/>
          <w:color w:val="000000"/>
          <w:sz w:val="24"/>
        </w:rPr>
        <w:t>投标人须知前附表</w:t>
      </w:r>
    </w:p>
    <w:tbl>
      <w:tblPr>
        <w:tblStyle w:val="17"/>
        <w:tblW w:w="96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45"/>
        <w:gridCol w:w="2250"/>
        <w:gridCol w:w="66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3" w:hRule="exact"/>
          <w:tblHeader/>
          <w:jc w:val="center"/>
        </w:trPr>
        <w:tc>
          <w:tcPr>
            <w:tcW w:w="745" w:type="dxa"/>
            <w:vAlign w:val="center"/>
          </w:tcPr>
          <w:p>
            <w:pPr>
              <w:pStyle w:val="22"/>
              <w:ind w:left="9"/>
              <w:jc w:val="center"/>
              <w:rPr>
                <w:color w:val="000000"/>
                <w:lang w:val="zh-CN"/>
              </w:rPr>
            </w:pPr>
            <w:r>
              <w:rPr>
                <w:rFonts w:hint="eastAsia"/>
                <w:color w:val="000000"/>
                <w:lang w:val="zh-CN"/>
              </w:rPr>
              <w:t xml:space="preserve">序号 </w:t>
            </w:r>
          </w:p>
        </w:tc>
        <w:tc>
          <w:tcPr>
            <w:tcW w:w="2250" w:type="dxa"/>
            <w:vAlign w:val="center"/>
          </w:tcPr>
          <w:p>
            <w:pPr>
              <w:pStyle w:val="22"/>
              <w:ind w:left="38"/>
              <w:jc w:val="center"/>
              <w:rPr>
                <w:color w:val="000000"/>
                <w:lang w:val="zh-CN"/>
              </w:rPr>
            </w:pPr>
            <w:r>
              <w:rPr>
                <w:rFonts w:hint="eastAsia"/>
                <w:color w:val="000000"/>
                <w:lang w:val="zh-CN"/>
              </w:rPr>
              <w:t xml:space="preserve">条款名称 </w:t>
            </w:r>
          </w:p>
        </w:tc>
        <w:tc>
          <w:tcPr>
            <w:tcW w:w="6627" w:type="dxa"/>
            <w:vAlign w:val="center"/>
          </w:tcPr>
          <w:p>
            <w:pPr>
              <w:pStyle w:val="22"/>
              <w:jc w:val="center"/>
              <w:rPr>
                <w:color w:val="000000"/>
                <w:lang w:val="zh-CN"/>
              </w:rPr>
            </w:pPr>
            <w:r>
              <w:rPr>
                <w:rFonts w:hint="eastAsia"/>
                <w:color w:val="000000"/>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43" w:hRule="atLeast"/>
          <w:jc w:val="center"/>
        </w:trPr>
        <w:tc>
          <w:tcPr>
            <w:tcW w:w="745" w:type="dxa"/>
            <w:vAlign w:val="center"/>
          </w:tcPr>
          <w:p>
            <w:pPr>
              <w:pStyle w:val="22"/>
              <w:ind w:right="230"/>
              <w:jc w:val="center"/>
              <w:rPr>
                <w:color w:val="000000"/>
                <w:lang w:val="zh-CN"/>
              </w:rPr>
            </w:pPr>
            <w:r>
              <w:rPr>
                <w:rFonts w:hint="eastAsia"/>
                <w:color w:val="000000"/>
                <w:lang w:val="zh-CN"/>
              </w:rPr>
              <w:t>1</w:t>
            </w:r>
          </w:p>
        </w:tc>
        <w:tc>
          <w:tcPr>
            <w:tcW w:w="2250" w:type="dxa"/>
            <w:vAlign w:val="center"/>
          </w:tcPr>
          <w:p>
            <w:pPr>
              <w:pStyle w:val="22"/>
              <w:jc w:val="center"/>
              <w:rPr>
                <w:color w:val="000000"/>
                <w:lang w:val="zh-CN"/>
              </w:rPr>
            </w:pPr>
            <w:r>
              <w:rPr>
                <w:rFonts w:hint="eastAsia"/>
                <w:color w:val="000000"/>
                <w:lang w:val="zh-CN"/>
              </w:rPr>
              <w:t>采购人</w:t>
            </w:r>
          </w:p>
        </w:tc>
        <w:tc>
          <w:tcPr>
            <w:tcW w:w="6627" w:type="dxa"/>
            <w:vAlign w:val="center"/>
          </w:tcPr>
          <w:p>
            <w:pPr>
              <w:pStyle w:val="23"/>
              <w:spacing w:before="120" w:beforeLines="50" w:after="120" w:afterLines="50" w:line="400" w:lineRule="exact"/>
              <w:ind w:firstLine="0" w:firstLineChars="0"/>
              <w:rPr>
                <w:rFonts w:hint="default" w:ascii="宋体" w:hAnsi="宋体" w:eastAsia="宋体" w:cs="宋体"/>
                <w:color w:val="000000"/>
                <w:kern w:val="0"/>
                <w:sz w:val="24"/>
                <w:szCs w:val="28"/>
                <w:lang w:val="en-US" w:eastAsia="zh-CN"/>
              </w:rPr>
            </w:pPr>
            <w:r>
              <w:rPr>
                <w:rFonts w:hint="eastAsia" w:ascii="宋体" w:hAnsi="宋体" w:cs="宋体"/>
                <w:color w:val="000000"/>
              </w:rPr>
              <w:t>采</w:t>
            </w:r>
            <w:r>
              <w:rPr>
                <w:rFonts w:hint="eastAsia" w:ascii="宋体" w:hAnsi="宋体" w:cs="宋体"/>
                <w:color w:val="000000"/>
                <w:kern w:val="0"/>
                <w:sz w:val="24"/>
                <w:szCs w:val="28"/>
                <w:lang w:val="zh-CN"/>
              </w:rPr>
              <w:t>购人：</w:t>
            </w:r>
            <w:r>
              <w:rPr>
                <w:rFonts w:hint="eastAsia" w:ascii="宋体" w:hAnsi="宋体" w:cs="宋体"/>
                <w:color w:val="000000"/>
                <w:kern w:val="0"/>
                <w:sz w:val="24"/>
                <w:szCs w:val="28"/>
                <w:lang w:val="en-US" w:eastAsia="zh-CN"/>
              </w:rPr>
              <w:t>南江县妇幼保健院</w:t>
            </w:r>
          </w:p>
          <w:p>
            <w:pPr>
              <w:pStyle w:val="23"/>
              <w:spacing w:before="120" w:beforeLines="50" w:after="120" w:afterLines="50" w:line="400" w:lineRule="exact"/>
              <w:ind w:firstLine="0" w:firstLineChars="0"/>
              <w:rPr>
                <w:rFonts w:ascii="宋体" w:hAnsi="宋体" w:cs="宋体"/>
                <w:color w:val="000000"/>
                <w:kern w:val="0"/>
                <w:sz w:val="24"/>
                <w:szCs w:val="28"/>
                <w:lang w:val="zh-CN"/>
              </w:rPr>
            </w:pPr>
            <w:r>
              <w:rPr>
                <w:rFonts w:hint="eastAsia" w:ascii="宋体" w:hAnsi="宋体" w:cs="宋体"/>
                <w:color w:val="000000"/>
                <w:kern w:val="0"/>
                <w:sz w:val="24"/>
                <w:szCs w:val="28"/>
                <w:lang w:val="zh-CN"/>
              </w:rPr>
              <w:t>联系人：</w:t>
            </w:r>
            <w:r>
              <w:rPr>
                <w:rFonts w:hint="eastAsia" w:ascii="宋体" w:hAnsi="宋体" w:cs="宋体"/>
                <w:color w:val="000000"/>
                <w:kern w:val="0"/>
                <w:sz w:val="24"/>
                <w:szCs w:val="28"/>
                <w:lang w:val="en-US" w:eastAsia="zh-CN"/>
              </w:rPr>
              <w:t>唐</w:t>
            </w:r>
            <w:r>
              <w:rPr>
                <w:rFonts w:hint="eastAsia" w:ascii="宋体" w:hAnsi="宋体" w:cs="宋体"/>
                <w:color w:val="000000"/>
                <w:kern w:val="0"/>
                <w:sz w:val="24"/>
                <w:szCs w:val="28"/>
                <w:lang w:val="zh-CN"/>
              </w:rPr>
              <w:t>先生</w:t>
            </w:r>
          </w:p>
          <w:p>
            <w:pPr>
              <w:pStyle w:val="23"/>
              <w:spacing w:before="120" w:beforeLines="50" w:after="120" w:afterLines="50" w:line="400" w:lineRule="exact"/>
              <w:ind w:firstLine="0" w:firstLineChars="0"/>
              <w:rPr>
                <w:rFonts w:ascii="宋体" w:hAnsi="宋体" w:cs="宋体"/>
                <w:color w:val="000000"/>
                <w:kern w:val="0"/>
                <w:sz w:val="24"/>
                <w:szCs w:val="28"/>
                <w:lang w:val="zh-CN"/>
              </w:rPr>
            </w:pPr>
            <w:r>
              <w:rPr>
                <w:rFonts w:hint="eastAsia" w:ascii="宋体" w:hAnsi="宋体" w:cs="宋体"/>
                <w:color w:val="000000"/>
                <w:kern w:val="0"/>
                <w:sz w:val="24"/>
                <w:szCs w:val="28"/>
                <w:lang w:val="zh-CN"/>
              </w:rPr>
              <w:t>地</w:t>
            </w:r>
            <w:r>
              <w:rPr>
                <w:rFonts w:hint="eastAsia" w:ascii="宋体" w:hAnsi="宋体" w:cs="宋体"/>
                <w:color w:val="000000"/>
                <w:kern w:val="0"/>
                <w:sz w:val="24"/>
                <w:szCs w:val="28"/>
                <w:lang w:val="en-US" w:eastAsia="zh-CN"/>
              </w:rPr>
              <w:t xml:space="preserve">  </w:t>
            </w:r>
            <w:r>
              <w:rPr>
                <w:rFonts w:hint="eastAsia" w:ascii="宋体" w:hAnsi="宋体" w:cs="宋体"/>
                <w:color w:val="000000"/>
                <w:kern w:val="0"/>
                <w:sz w:val="24"/>
                <w:szCs w:val="28"/>
                <w:lang w:val="zh-CN"/>
              </w:rPr>
              <w:t>址：</w:t>
            </w:r>
            <w:r>
              <w:rPr>
                <w:rFonts w:hint="eastAsia" w:ascii="宋体" w:hAnsi="宋体" w:cs="宋体"/>
                <w:color w:val="000000"/>
                <w:kern w:val="0"/>
                <w:sz w:val="24"/>
                <w:szCs w:val="28"/>
                <w:lang w:val="en-US" w:eastAsia="zh-CN"/>
              </w:rPr>
              <w:t>南江县集州街道米仓山大道文庙滨河路168</w:t>
            </w:r>
            <w:r>
              <w:rPr>
                <w:rFonts w:hint="eastAsia" w:ascii="宋体" w:hAnsi="宋体" w:cs="宋体"/>
                <w:color w:val="000000"/>
                <w:kern w:val="0"/>
                <w:sz w:val="24"/>
                <w:szCs w:val="28"/>
                <w:lang w:val="zh-CN"/>
              </w:rPr>
              <w:t>号</w:t>
            </w:r>
          </w:p>
          <w:p>
            <w:pPr>
              <w:pStyle w:val="23"/>
              <w:spacing w:before="120" w:beforeLines="50" w:after="120" w:afterLines="50" w:line="400" w:lineRule="exact"/>
              <w:ind w:firstLine="0" w:firstLineChars="0"/>
              <w:rPr>
                <w:rFonts w:hint="default" w:ascii="宋体" w:hAnsi="宋体" w:eastAsia="宋体" w:cs="宋体"/>
                <w:color w:val="000000"/>
                <w:lang w:val="en-US" w:eastAsia="zh-CN"/>
              </w:rPr>
            </w:pPr>
            <w:r>
              <w:rPr>
                <w:rFonts w:hint="eastAsia" w:ascii="宋体" w:hAnsi="宋体" w:cs="宋体"/>
                <w:color w:val="000000"/>
                <w:kern w:val="0"/>
                <w:sz w:val="24"/>
                <w:szCs w:val="28"/>
                <w:lang w:val="zh-CN"/>
              </w:rPr>
              <w:t>电</w:t>
            </w:r>
            <w:r>
              <w:rPr>
                <w:rFonts w:hint="eastAsia" w:ascii="宋体" w:hAnsi="宋体" w:cs="宋体"/>
                <w:color w:val="000000"/>
                <w:kern w:val="0"/>
                <w:sz w:val="24"/>
                <w:szCs w:val="28"/>
                <w:lang w:val="en-US" w:eastAsia="zh-CN"/>
              </w:rPr>
              <w:t xml:space="preserve">  </w:t>
            </w:r>
            <w:r>
              <w:rPr>
                <w:rFonts w:hint="eastAsia" w:ascii="宋体" w:hAnsi="宋体" w:cs="宋体"/>
                <w:color w:val="000000"/>
                <w:kern w:val="0"/>
                <w:sz w:val="24"/>
                <w:szCs w:val="28"/>
                <w:lang w:val="zh-CN"/>
              </w:rPr>
              <w:t>话：</w:t>
            </w:r>
            <w:r>
              <w:rPr>
                <w:rFonts w:hint="eastAsia" w:ascii="宋体" w:hAnsi="宋体" w:cs="宋体"/>
                <w:color w:val="000000"/>
                <w:kern w:val="0"/>
                <w:sz w:val="24"/>
                <w:szCs w:val="28"/>
                <w:lang w:val="en-US" w:eastAsia="zh-CN"/>
              </w:rPr>
              <w:t>15681669696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45" w:type="dxa"/>
            <w:vAlign w:val="center"/>
          </w:tcPr>
          <w:p>
            <w:pPr>
              <w:pStyle w:val="22"/>
              <w:ind w:right="230"/>
              <w:jc w:val="center"/>
              <w:rPr>
                <w:color w:val="000000"/>
                <w:lang w:val="zh-CN"/>
              </w:rPr>
            </w:pPr>
            <w:r>
              <w:rPr>
                <w:rFonts w:hint="eastAsia"/>
                <w:color w:val="000000"/>
                <w:lang w:val="zh-CN"/>
              </w:rPr>
              <w:t>2</w:t>
            </w:r>
          </w:p>
        </w:tc>
        <w:tc>
          <w:tcPr>
            <w:tcW w:w="2250" w:type="dxa"/>
            <w:vAlign w:val="center"/>
          </w:tcPr>
          <w:p>
            <w:pPr>
              <w:pStyle w:val="22"/>
              <w:ind w:left="38"/>
              <w:jc w:val="center"/>
              <w:rPr>
                <w:color w:val="000000"/>
                <w:lang w:val="zh-CN"/>
              </w:rPr>
            </w:pPr>
            <w:r>
              <w:rPr>
                <w:rFonts w:hint="eastAsia"/>
                <w:color w:val="000000"/>
                <w:lang w:val="zh-CN"/>
              </w:rPr>
              <w:t>代理机构</w:t>
            </w:r>
          </w:p>
        </w:tc>
        <w:tc>
          <w:tcPr>
            <w:tcW w:w="6627" w:type="dxa"/>
            <w:vAlign w:val="center"/>
          </w:tcPr>
          <w:p>
            <w:pPr>
              <w:adjustRightInd w:val="0"/>
              <w:snapToGrid w:val="0"/>
              <w:spacing w:line="460" w:lineRule="exact"/>
              <w:rPr>
                <w:rFonts w:hint="eastAsia" w:ascii="宋体" w:hAnsi="宋体" w:eastAsia="宋体" w:cs="宋体"/>
                <w:color w:val="000000"/>
                <w:sz w:val="24"/>
                <w:lang w:eastAsia="zh-CN"/>
              </w:rPr>
            </w:pPr>
            <w:r>
              <w:rPr>
                <w:rFonts w:hint="eastAsia" w:ascii="宋体" w:hAnsi="宋体" w:cs="宋体"/>
                <w:color w:val="000000"/>
                <w:kern w:val="0"/>
                <w:sz w:val="24"/>
                <w:szCs w:val="28"/>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17" w:hRule="atLeast"/>
          <w:jc w:val="center"/>
        </w:trPr>
        <w:tc>
          <w:tcPr>
            <w:tcW w:w="745" w:type="dxa"/>
            <w:vAlign w:val="center"/>
          </w:tcPr>
          <w:p>
            <w:pPr>
              <w:pStyle w:val="22"/>
              <w:ind w:right="230"/>
              <w:jc w:val="center"/>
              <w:rPr>
                <w:color w:val="000000"/>
                <w:lang w:val="zh-CN"/>
              </w:rPr>
            </w:pPr>
            <w:r>
              <w:rPr>
                <w:rFonts w:hint="eastAsia"/>
                <w:color w:val="000000"/>
                <w:lang w:val="zh-CN"/>
              </w:rPr>
              <w:t>3</w:t>
            </w:r>
          </w:p>
        </w:tc>
        <w:tc>
          <w:tcPr>
            <w:tcW w:w="2250" w:type="dxa"/>
            <w:vAlign w:val="center"/>
          </w:tcPr>
          <w:p>
            <w:pPr>
              <w:pStyle w:val="22"/>
              <w:ind w:left="38"/>
              <w:jc w:val="center"/>
              <w:rPr>
                <w:color w:val="000000"/>
                <w:lang w:val="zh-CN"/>
              </w:rPr>
            </w:pPr>
            <w:r>
              <w:rPr>
                <w:rFonts w:hint="eastAsia"/>
                <w:color w:val="000000"/>
                <w:lang w:val="zh-CN"/>
              </w:rPr>
              <w:t>项目信息</w:t>
            </w:r>
          </w:p>
        </w:tc>
        <w:tc>
          <w:tcPr>
            <w:tcW w:w="6627" w:type="dxa"/>
            <w:vAlign w:val="center"/>
          </w:tcPr>
          <w:p>
            <w:pPr>
              <w:spacing w:line="400" w:lineRule="exact"/>
              <w:rPr>
                <w:rFonts w:ascii="宋体" w:hAnsi="宋体" w:cs="宋体"/>
                <w:sz w:val="24"/>
              </w:rPr>
            </w:pPr>
            <w:r>
              <w:rPr>
                <w:rFonts w:hint="eastAsia" w:ascii="宋体" w:hAnsi="宋体" w:cs="宋体"/>
                <w:bCs/>
                <w:sz w:val="24"/>
              </w:rPr>
              <w:t>本次采购</w:t>
            </w:r>
            <w:r>
              <w:rPr>
                <w:rFonts w:hint="eastAsia" w:ascii="宋体" w:hAnsi="宋体" w:cs="宋体"/>
                <w:bCs/>
                <w:sz w:val="24"/>
                <w:lang w:val="en-US" w:eastAsia="zh-CN"/>
              </w:rPr>
              <w:t>南江县妇幼保健院一、二、三综合大楼</w:t>
            </w:r>
            <w:r>
              <w:rPr>
                <w:rFonts w:hint="eastAsia" w:ascii="宋体" w:hAnsi="宋体" w:cs="宋体"/>
                <w:bCs/>
                <w:sz w:val="24"/>
              </w:rPr>
              <w:t>消防系统、设施维保服务采购项目，本项目共1个包。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0" w:hRule="exact"/>
          <w:jc w:val="center"/>
        </w:trPr>
        <w:tc>
          <w:tcPr>
            <w:tcW w:w="745" w:type="dxa"/>
            <w:tcBorders>
              <w:bottom w:val="single" w:color="auto" w:sz="4" w:space="0"/>
            </w:tcBorders>
            <w:vAlign w:val="center"/>
          </w:tcPr>
          <w:p>
            <w:pPr>
              <w:pStyle w:val="22"/>
              <w:ind w:right="230"/>
              <w:jc w:val="center"/>
              <w:rPr>
                <w:color w:val="000000"/>
                <w:lang w:val="zh-CN"/>
              </w:rPr>
            </w:pPr>
            <w:r>
              <w:rPr>
                <w:rFonts w:hint="eastAsia"/>
                <w:color w:val="000000"/>
                <w:lang w:val="zh-CN"/>
              </w:rPr>
              <w:t>4</w:t>
            </w:r>
          </w:p>
        </w:tc>
        <w:tc>
          <w:tcPr>
            <w:tcW w:w="2250" w:type="dxa"/>
            <w:tcBorders>
              <w:bottom w:val="single" w:color="auto" w:sz="4" w:space="0"/>
            </w:tcBorders>
            <w:vAlign w:val="center"/>
          </w:tcPr>
          <w:p>
            <w:pPr>
              <w:pStyle w:val="22"/>
              <w:ind w:left="38"/>
              <w:jc w:val="center"/>
              <w:rPr>
                <w:color w:val="000000"/>
                <w:lang w:val="zh-CN"/>
              </w:rPr>
            </w:pPr>
            <w:r>
              <w:rPr>
                <w:rFonts w:hint="eastAsia"/>
                <w:color w:val="000000"/>
                <w:lang w:val="zh-CN"/>
              </w:rPr>
              <w:t>资金来源</w:t>
            </w:r>
          </w:p>
        </w:tc>
        <w:tc>
          <w:tcPr>
            <w:tcW w:w="6627" w:type="dxa"/>
            <w:tcBorders>
              <w:bottom w:val="single" w:color="auto" w:sz="4" w:space="0"/>
            </w:tcBorders>
            <w:vAlign w:val="center"/>
          </w:tcPr>
          <w:p>
            <w:pPr>
              <w:pStyle w:val="22"/>
              <w:jc w:val="both"/>
              <w:rPr>
                <w:color w:val="000000"/>
                <w:lang w:val="zh-CN"/>
              </w:rPr>
            </w:pPr>
            <w:r>
              <w:rPr>
                <w:rFonts w:hint="eastAsia"/>
                <w:color w:val="000000"/>
              </w:rPr>
              <w:t>采购人自筹。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406" w:hRule="exact"/>
          <w:jc w:val="center"/>
        </w:trPr>
        <w:tc>
          <w:tcPr>
            <w:tcW w:w="745" w:type="dxa"/>
            <w:vAlign w:val="center"/>
          </w:tcPr>
          <w:p>
            <w:pPr>
              <w:pStyle w:val="22"/>
              <w:ind w:right="230"/>
              <w:jc w:val="center"/>
              <w:rPr>
                <w:color w:val="000000"/>
                <w:lang w:val="zh-CN"/>
              </w:rPr>
            </w:pPr>
            <w:r>
              <w:rPr>
                <w:rFonts w:hint="eastAsia"/>
                <w:color w:val="000000"/>
                <w:lang w:val="zh-CN"/>
              </w:rPr>
              <w:t>5</w:t>
            </w:r>
          </w:p>
        </w:tc>
        <w:tc>
          <w:tcPr>
            <w:tcW w:w="2250" w:type="dxa"/>
            <w:tcBorders>
              <w:top w:val="single" w:color="auto" w:sz="4" w:space="0"/>
            </w:tcBorders>
            <w:vAlign w:val="center"/>
          </w:tcPr>
          <w:p>
            <w:pPr>
              <w:pStyle w:val="22"/>
              <w:ind w:left="38"/>
              <w:jc w:val="center"/>
              <w:rPr>
                <w:color w:val="000000"/>
                <w:lang w:val="zh-CN"/>
              </w:rPr>
            </w:pPr>
            <w:r>
              <w:rPr>
                <w:rFonts w:hint="eastAsia"/>
                <w:color w:val="000000"/>
                <w:lang w:val="zh-CN"/>
              </w:rPr>
              <w:t>招标最高控制价</w:t>
            </w:r>
          </w:p>
        </w:tc>
        <w:tc>
          <w:tcPr>
            <w:tcW w:w="6627" w:type="dxa"/>
            <w:tcBorders>
              <w:top w:val="single" w:color="auto" w:sz="4" w:space="0"/>
            </w:tcBorders>
            <w:vAlign w:val="center"/>
          </w:tcPr>
          <w:p>
            <w:pPr>
              <w:spacing w:line="460" w:lineRule="exact"/>
              <w:rPr>
                <w:rFonts w:ascii="宋体" w:hAnsi="宋体" w:cs="宋体"/>
                <w:sz w:val="24"/>
              </w:rPr>
            </w:pPr>
            <w:r>
              <w:rPr>
                <w:rFonts w:hint="eastAsia" w:ascii="宋体" w:hAnsi="宋体" w:cs="宋体"/>
                <w:color w:val="000000"/>
                <w:sz w:val="24"/>
              </w:rPr>
              <w:t>本项目的最高控制价：人民币</w:t>
            </w:r>
            <w:r>
              <w:rPr>
                <w:rFonts w:hint="eastAsia" w:ascii="宋体" w:hAnsi="宋体" w:cs="宋体"/>
                <w:b/>
                <w:bCs/>
                <w:color w:val="000000"/>
                <w:sz w:val="24"/>
                <w:lang w:val="en-US" w:eastAsia="zh-CN"/>
              </w:rPr>
              <w:t>80</w:t>
            </w:r>
            <w:r>
              <w:rPr>
                <w:rFonts w:hint="eastAsia" w:ascii="宋体" w:hAnsi="宋体" w:cs="宋体"/>
                <w:b/>
                <w:bCs/>
                <w:color w:val="000000"/>
                <w:sz w:val="24"/>
              </w:rPr>
              <w:t>000.00元/年</w:t>
            </w:r>
            <w:r>
              <w:rPr>
                <w:rFonts w:hint="eastAsia" w:ascii="宋体" w:hAnsi="宋体" w:cs="宋体"/>
                <w:sz w:val="24"/>
              </w:rPr>
              <w:t>。</w:t>
            </w:r>
          </w:p>
          <w:p>
            <w:pPr>
              <w:spacing w:line="460" w:lineRule="exact"/>
              <w:rPr>
                <w:rFonts w:ascii="宋体" w:hAnsi="宋体" w:cs="宋体"/>
                <w:color w:val="000000"/>
                <w:sz w:val="24"/>
              </w:rPr>
            </w:pPr>
            <w:r>
              <w:rPr>
                <w:rFonts w:hint="eastAsia" w:ascii="宋体" w:hAnsi="宋体" w:cs="宋体"/>
                <w:b/>
                <w:bCs/>
                <w:color w:val="000000"/>
                <w:sz w:val="24"/>
                <w:lang w:val="zh-CN"/>
              </w:rPr>
              <w:t>注：最高限价为含税限价，超过最高限价的投标报价为无效报价。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exact"/>
          <w:jc w:val="center"/>
        </w:trPr>
        <w:tc>
          <w:tcPr>
            <w:tcW w:w="745" w:type="dxa"/>
            <w:vAlign w:val="center"/>
          </w:tcPr>
          <w:p>
            <w:pPr>
              <w:pStyle w:val="22"/>
              <w:ind w:right="230"/>
              <w:jc w:val="center"/>
              <w:rPr>
                <w:color w:val="000000"/>
                <w:lang w:val="zh-CN"/>
              </w:rPr>
            </w:pPr>
            <w:r>
              <w:rPr>
                <w:rFonts w:hint="eastAsia"/>
                <w:color w:val="000000"/>
                <w:lang w:val="zh-CN"/>
              </w:rPr>
              <w:t>6</w:t>
            </w:r>
          </w:p>
        </w:tc>
        <w:tc>
          <w:tcPr>
            <w:tcW w:w="2250" w:type="dxa"/>
            <w:vAlign w:val="center"/>
          </w:tcPr>
          <w:p>
            <w:pPr>
              <w:pStyle w:val="22"/>
              <w:ind w:left="38"/>
              <w:jc w:val="center"/>
              <w:rPr>
                <w:color w:val="000000"/>
                <w:lang w:val="zh-CN"/>
              </w:rPr>
            </w:pPr>
            <w:r>
              <w:rPr>
                <w:rFonts w:hint="eastAsia"/>
                <w:color w:val="000000"/>
                <w:lang w:val="zh-CN"/>
              </w:rPr>
              <w:t>招标方式</w:t>
            </w:r>
          </w:p>
        </w:tc>
        <w:tc>
          <w:tcPr>
            <w:tcW w:w="6627" w:type="dxa"/>
            <w:vAlign w:val="center"/>
          </w:tcPr>
          <w:p>
            <w:pPr>
              <w:pStyle w:val="22"/>
              <w:jc w:val="both"/>
              <w:rPr>
                <w:color w:val="000000"/>
                <w:lang w:val="zh-CN"/>
              </w:rPr>
            </w:pPr>
            <w:r>
              <w:rPr>
                <w:rFonts w:hint="eastAsia"/>
                <w:color w:val="000000"/>
              </w:rPr>
              <w:t>公开招标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745" w:type="dxa"/>
            <w:vAlign w:val="center"/>
          </w:tcPr>
          <w:p>
            <w:pPr>
              <w:pStyle w:val="22"/>
              <w:ind w:right="230"/>
              <w:jc w:val="center"/>
              <w:rPr>
                <w:color w:val="000000"/>
                <w:lang w:val="zh-CN"/>
              </w:rPr>
            </w:pPr>
            <w:r>
              <w:rPr>
                <w:rFonts w:hint="eastAsia"/>
                <w:color w:val="000000"/>
                <w:lang w:val="zh-CN"/>
              </w:rPr>
              <w:t>7</w:t>
            </w:r>
          </w:p>
        </w:tc>
        <w:tc>
          <w:tcPr>
            <w:tcW w:w="2250" w:type="dxa"/>
            <w:vAlign w:val="center"/>
          </w:tcPr>
          <w:p>
            <w:pPr>
              <w:pStyle w:val="22"/>
              <w:jc w:val="center"/>
              <w:rPr>
                <w:color w:val="000000"/>
                <w:lang w:val="zh-CN"/>
              </w:rPr>
            </w:pPr>
            <w:r>
              <w:rPr>
                <w:rFonts w:hint="eastAsia"/>
                <w:color w:val="000000"/>
                <w:lang w:val="zh-CN"/>
              </w:rPr>
              <w:t>评标方法</w:t>
            </w:r>
          </w:p>
        </w:tc>
        <w:tc>
          <w:tcPr>
            <w:tcW w:w="6627" w:type="dxa"/>
            <w:vAlign w:val="center"/>
          </w:tcPr>
          <w:p>
            <w:pPr>
              <w:pStyle w:val="22"/>
              <w:rPr>
                <w:rFonts w:hint="default" w:eastAsia="宋体"/>
                <w:color w:val="000000"/>
                <w:lang w:val="en-US" w:eastAsia="zh-CN"/>
              </w:rPr>
            </w:pPr>
            <w:r>
              <w:rPr>
                <w:rFonts w:hint="eastAsia"/>
                <w:color w:val="000000"/>
                <w:lang w:val="en-US" w:eastAsia="zh-CN"/>
              </w:rPr>
              <w:t>询价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0" w:hRule="atLeast"/>
          <w:jc w:val="center"/>
        </w:trPr>
        <w:tc>
          <w:tcPr>
            <w:tcW w:w="745" w:type="dxa"/>
            <w:vAlign w:val="center"/>
          </w:tcPr>
          <w:p>
            <w:pPr>
              <w:pStyle w:val="22"/>
              <w:ind w:right="230"/>
              <w:jc w:val="center"/>
              <w:rPr>
                <w:color w:val="000000"/>
                <w:lang w:val="zh-CN"/>
              </w:rPr>
            </w:pPr>
            <w:r>
              <w:rPr>
                <w:rFonts w:hint="eastAsia"/>
                <w:color w:val="000000"/>
                <w:lang w:val="zh-CN"/>
              </w:rPr>
              <w:t>8</w:t>
            </w:r>
          </w:p>
        </w:tc>
        <w:tc>
          <w:tcPr>
            <w:tcW w:w="2250" w:type="dxa"/>
            <w:vAlign w:val="center"/>
          </w:tcPr>
          <w:p>
            <w:pPr>
              <w:pStyle w:val="22"/>
              <w:ind w:left="52"/>
              <w:jc w:val="center"/>
              <w:rPr>
                <w:color w:val="000000"/>
                <w:lang w:val="zh-CN"/>
              </w:rPr>
            </w:pPr>
            <w:r>
              <w:rPr>
                <w:rFonts w:hint="eastAsia"/>
                <w:color w:val="000000"/>
                <w:lang w:val="zh-CN"/>
              </w:rPr>
              <w:t>构成招标文件的</w:t>
            </w:r>
          </w:p>
          <w:p>
            <w:pPr>
              <w:pStyle w:val="22"/>
              <w:ind w:left="52"/>
              <w:jc w:val="center"/>
              <w:rPr>
                <w:color w:val="000000"/>
                <w:lang w:val="zh-CN"/>
              </w:rPr>
            </w:pPr>
            <w:r>
              <w:rPr>
                <w:rFonts w:hint="eastAsia"/>
                <w:color w:val="000000"/>
                <w:lang w:val="zh-CN"/>
              </w:rPr>
              <w:t>其他文件</w:t>
            </w:r>
          </w:p>
        </w:tc>
        <w:tc>
          <w:tcPr>
            <w:tcW w:w="6627" w:type="dxa"/>
            <w:vAlign w:val="center"/>
          </w:tcPr>
          <w:p>
            <w:pPr>
              <w:pStyle w:val="22"/>
              <w:ind w:left="0" w:leftChars="0" w:firstLine="0" w:firstLineChars="0"/>
              <w:jc w:val="both"/>
              <w:rPr>
                <w:color w:val="000000"/>
                <w:lang w:val="zh-CN"/>
              </w:rPr>
            </w:pPr>
            <w:r>
              <w:rPr>
                <w:rFonts w:hint="eastAsia"/>
                <w:color w:val="000000"/>
                <w:lang w:val="zh-CN"/>
              </w:rPr>
              <w:t>招标文件的澄清</w:t>
            </w:r>
            <w:r>
              <w:rPr>
                <w:rFonts w:hint="eastAsia"/>
                <w:color w:val="000000"/>
              </w:rPr>
              <w:t>、修改书及有关补充通知为招标文件的有效组成部分。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2" w:hRule="atLeast"/>
          <w:jc w:val="center"/>
        </w:trPr>
        <w:tc>
          <w:tcPr>
            <w:tcW w:w="745" w:type="dxa"/>
            <w:tcBorders>
              <w:bottom w:val="single" w:color="auto" w:sz="8" w:space="0"/>
            </w:tcBorders>
            <w:vAlign w:val="center"/>
          </w:tcPr>
          <w:p>
            <w:pPr>
              <w:pStyle w:val="22"/>
              <w:ind w:right="230"/>
              <w:jc w:val="center"/>
              <w:rPr>
                <w:color w:val="000000"/>
                <w:lang w:val="zh-CN"/>
              </w:rPr>
            </w:pPr>
            <w:r>
              <w:rPr>
                <w:rFonts w:hint="eastAsia"/>
                <w:color w:val="000000"/>
                <w:lang w:val="zh-CN"/>
              </w:rPr>
              <w:t>9</w:t>
            </w:r>
          </w:p>
        </w:tc>
        <w:tc>
          <w:tcPr>
            <w:tcW w:w="2250" w:type="dxa"/>
            <w:tcBorders>
              <w:bottom w:val="single" w:color="auto" w:sz="8" w:space="0"/>
            </w:tcBorders>
            <w:vAlign w:val="center"/>
          </w:tcPr>
          <w:p>
            <w:pPr>
              <w:pStyle w:val="22"/>
              <w:ind w:left="52"/>
              <w:rPr>
                <w:color w:val="000000"/>
                <w:lang w:val="zh-CN"/>
              </w:rPr>
            </w:pPr>
            <w:r>
              <w:rPr>
                <w:rFonts w:hint="eastAsia"/>
                <w:color w:val="000000"/>
                <w:lang w:val="zh-CN"/>
              </w:rPr>
              <w:t>投标截止和开标时间</w:t>
            </w:r>
          </w:p>
        </w:tc>
        <w:tc>
          <w:tcPr>
            <w:tcW w:w="6627" w:type="dxa"/>
            <w:tcBorders>
              <w:bottom w:val="single" w:color="auto" w:sz="8" w:space="0"/>
            </w:tcBorders>
            <w:vAlign w:val="center"/>
          </w:tcPr>
          <w:p>
            <w:pPr>
              <w:pStyle w:val="22"/>
              <w:ind w:left="52"/>
            </w:pPr>
            <w:r>
              <w:rPr>
                <w:rFonts w:hint="eastAsia"/>
                <w:color w:val="000000"/>
              </w:rPr>
              <w:t>202</w:t>
            </w:r>
            <w:r>
              <w:rPr>
                <w:rFonts w:hint="eastAsia"/>
                <w:color w:val="000000"/>
                <w:lang w:val="en-US" w:eastAsia="zh-CN"/>
              </w:rPr>
              <w:t>2</w:t>
            </w:r>
            <w:r>
              <w:rPr>
                <w:rFonts w:hint="eastAsia"/>
                <w:color w:val="000000"/>
                <w:lang w:val="zh-CN"/>
              </w:rPr>
              <w:t>年</w:t>
            </w:r>
            <w:r>
              <w:rPr>
                <w:rFonts w:hint="eastAsia"/>
                <w:color w:val="000000"/>
              </w:rPr>
              <w:t xml:space="preserve"> </w:t>
            </w:r>
            <w:r>
              <w:rPr>
                <w:rFonts w:hint="eastAsia"/>
                <w:color w:val="000000"/>
                <w:lang w:val="en-US" w:eastAsia="zh-CN"/>
              </w:rPr>
              <w:t>07</w:t>
            </w:r>
            <w:r>
              <w:rPr>
                <w:rFonts w:hint="eastAsia"/>
                <w:color w:val="000000"/>
              </w:rPr>
              <w:t xml:space="preserve"> </w:t>
            </w:r>
            <w:r>
              <w:rPr>
                <w:rFonts w:hint="eastAsia"/>
                <w:color w:val="000000"/>
                <w:lang w:val="zh-CN"/>
              </w:rPr>
              <w:t>月</w:t>
            </w:r>
            <w:r>
              <w:rPr>
                <w:rFonts w:hint="eastAsia"/>
                <w:color w:val="000000"/>
              </w:rPr>
              <w:t xml:space="preserve"> </w:t>
            </w:r>
            <w:r>
              <w:rPr>
                <w:rFonts w:hint="eastAsia"/>
                <w:color w:val="000000"/>
                <w:lang w:val="en-US" w:eastAsia="zh-CN"/>
              </w:rPr>
              <w:t>14</w:t>
            </w:r>
            <w:r>
              <w:rPr>
                <w:rFonts w:hint="eastAsia"/>
                <w:color w:val="000000"/>
              </w:rPr>
              <w:t xml:space="preserve"> 日09:</w:t>
            </w:r>
            <w:r>
              <w:rPr>
                <w:rFonts w:hint="eastAsia"/>
                <w:color w:val="000000"/>
                <w:lang w:val="en-US" w:eastAsia="zh-CN"/>
              </w:rPr>
              <w:t>0</w:t>
            </w:r>
            <w:r>
              <w:rPr>
                <w:rFonts w:hint="eastAsia"/>
                <w:color w:val="000000"/>
              </w:rPr>
              <w:t>0分（北京时间）</w:t>
            </w:r>
            <w:r>
              <w:rPr>
                <w:rFonts w:hint="eastAsia"/>
              </w:rPr>
              <w:t>（当日上午09:</w:t>
            </w:r>
            <w:r>
              <w:rPr>
                <w:rFonts w:hint="eastAsia"/>
                <w:lang w:val="en-US" w:eastAsia="zh-CN"/>
              </w:rPr>
              <w:t>0</w:t>
            </w:r>
            <w:r>
              <w:rPr>
                <w:rFonts w:hint="eastAsia"/>
              </w:rPr>
              <w:t>0前递交标书，逾期不收）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exact"/>
          <w:jc w:val="center"/>
        </w:trPr>
        <w:tc>
          <w:tcPr>
            <w:tcW w:w="745" w:type="dxa"/>
            <w:vAlign w:val="center"/>
          </w:tcPr>
          <w:p>
            <w:pPr>
              <w:pStyle w:val="22"/>
              <w:ind w:right="230"/>
              <w:jc w:val="center"/>
              <w:rPr>
                <w:color w:val="000000"/>
                <w:lang w:val="zh-CN"/>
              </w:rPr>
            </w:pPr>
            <w:r>
              <w:rPr>
                <w:rFonts w:hint="eastAsia"/>
                <w:color w:val="000000"/>
                <w:lang w:val="zh-CN"/>
              </w:rPr>
              <w:t>10</w:t>
            </w:r>
          </w:p>
        </w:tc>
        <w:tc>
          <w:tcPr>
            <w:tcW w:w="2250" w:type="dxa"/>
            <w:vAlign w:val="center"/>
          </w:tcPr>
          <w:p>
            <w:pPr>
              <w:pStyle w:val="22"/>
              <w:jc w:val="center"/>
              <w:rPr>
                <w:color w:val="000000"/>
                <w:lang w:val="zh-CN"/>
              </w:rPr>
            </w:pPr>
            <w:r>
              <w:rPr>
                <w:rFonts w:hint="eastAsia"/>
                <w:color w:val="000000"/>
                <w:lang w:val="zh-CN"/>
              </w:rPr>
              <w:t>投标有效期</w:t>
            </w:r>
          </w:p>
        </w:tc>
        <w:tc>
          <w:tcPr>
            <w:tcW w:w="6627" w:type="dxa"/>
            <w:vAlign w:val="center"/>
          </w:tcPr>
          <w:p>
            <w:pPr>
              <w:pStyle w:val="22"/>
              <w:rPr>
                <w:color w:val="000000"/>
                <w:lang w:val="zh-CN"/>
              </w:rPr>
            </w:pPr>
            <w:r>
              <w:rPr>
                <w:rFonts w:hint="eastAsia"/>
                <w:color w:val="000000"/>
                <w:lang w:val="zh-CN"/>
              </w:rPr>
              <w:t>提交投标文件的截止之日起30日历天。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0" w:hRule="exact"/>
          <w:jc w:val="center"/>
        </w:trPr>
        <w:tc>
          <w:tcPr>
            <w:tcW w:w="745" w:type="dxa"/>
            <w:tcBorders>
              <w:bottom w:val="single" w:color="auto" w:sz="4" w:space="0"/>
            </w:tcBorders>
            <w:vAlign w:val="center"/>
          </w:tcPr>
          <w:p>
            <w:pPr>
              <w:pStyle w:val="22"/>
              <w:ind w:right="230"/>
              <w:jc w:val="center"/>
              <w:rPr>
                <w:color w:val="000000"/>
                <w:lang w:val="zh-CN"/>
              </w:rPr>
            </w:pPr>
            <w:r>
              <w:rPr>
                <w:rFonts w:hint="eastAsia"/>
                <w:color w:val="000000"/>
                <w:lang w:val="zh-CN"/>
              </w:rPr>
              <w:t>11</w:t>
            </w:r>
          </w:p>
        </w:tc>
        <w:tc>
          <w:tcPr>
            <w:tcW w:w="2250" w:type="dxa"/>
            <w:tcBorders>
              <w:bottom w:val="single" w:color="auto" w:sz="4" w:space="0"/>
            </w:tcBorders>
            <w:vAlign w:val="center"/>
          </w:tcPr>
          <w:p>
            <w:pPr>
              <w:pStyle w:val="22"/>
              <w:jc w:val="center"/>
              <w:rPr>
                <w:color w:val="000000"/>
                <w:lang w:val="zh-CN"/>
              </w:rPr>
            </w:pPr>
            <w:r>
              <w:rPr>
                <w:rFonts w:hint="eastAsia"/>
                <w:color w:val="000000"/>
                <w:lang w:val="zh-CN"/>
              </w:rPr>
              <w:t>投标报价</w:t>
            </w:r>
          </w:p>
        </w:tc>
        <w:tc>
          <w:tcPr>
            <w:tcW w:w="6627" w:type="dxa"/>
            <w:tcBorders>
              <w:bottom w:val="single" w:color="auto" w:sz="4" w:space="0"/>
            </w:tcBorders>
            <w:vAlign w:val="center"/>
          </w:tcPr>
          <w:p>
            <w:r>
              <w:rPr>
                <w:rFonts w:hint="eastAsia" w:ascii="宋体" w:hAnsi="宋体" w:cs="宋体"/>
                <w:color w:val="000000"/>
                <w:kern w:val="0"/>
                <w:sz w:val="24"/>
                <w:lang w:val="zh-CN"/>
              </w:rPr>
              <w:t>该价格包含各项税费和消防系统年度检测费。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5" w:hRule="exact"/>
          <w:jc w:val="center"/>
        </w:trPr>
        <w:tc>
          <w:tcPr>
            <w:tcW w:w="745" w:type="dxa"/>
            <w:tcBorders>
              <w:top w:val="single" w:color="auto" w:sz="4" w:space="0"/>
            </w:tcBorders>
            <w:vAlign w:val="center"/>
          </w:tcPr>
          <w:p>
            <w:pPr>
              <w:pStyle w:val="22"/>
              <w:ind w:right="230"/>
              <w:jc w:val="center"/>
              <w:rPr>
                <w:color w:val="000000"/>
                <w:lang w:val="zh-CN"/>
              </w:rPr>
            </w:pPr>
            <w:r>
              <w:rPr>
                <w:rFonts w:hint="eastAsia"/>
                <w:color w:val="000000"/>
                <w:lang w:val="zh-CN"/>
              </w:rPr>
              <w:t>12</w:t>
            </w:r>
          </w:p>
        </w:tc>
        <w:tc>
          <w:tcPr>
            <w:tcW w:w="2250" w:type="dxa"/>
            <w:tcBorders>
              <w:top w:val="single" w:color="auto" w:sz="4" w:space="0"/>
            </w:tcBorders>
            <w:vAlign w:val="center"/>
          </w:tcPr>
          <w:p>
            <w:pPr>
              <w:pStyle w:val="22"/>
              <w:jc w:val="center"/>
              <w:rPr>
                <w:lang w:val="zh-CN"/>
              </w:rPr>
            </w:pPr>
            <w:r>
              <w:rPr>
                <w:rFonts w:hint="eastAsia"/>
                <w:lang w:val="zh-CN"/>
              </w:rPr>
              <w:t>投标保证金</w:t>
            </w:r>
          </w:p>
        </w:tc>
        <w:tc>
          <w:tcPr>
            <w:tcW w:w="6627" w:type="dxa"/>
            <w:tcBorders>
              <w:top w:val="single" w:color="auto" w:sz="4" w:space="0"/>
            </w:tcBorders>
            <w:vAlign w:val="center"/>
          </w:tcPr>
          <w:p>
            <w:pPr>
              <w:pStyle w:val="23"/>
              <w:spacing w:before="120" w:beforeLines="50" w:after="120" w:afterLines="50" w:line="400" w:lineRule="exact"/>
              <w:ind w:firstLine="0" w:firstLineChars="0"/>
              <w:rPr>
                <w:rFonts w:hint="default" w:eastAsia="宋体"/>
                <w:lang w:val="en-US" w:eastAsia="zh-CN"/>
              </w:rPr>
            </w:pPr>
            <w:r>
              <w:rPr>
                <w:rFonts w:hint="eastAsia" w:ascii="宋体" w:hAnsi="宋体" w:cs="宋体"/>
                <w:color w:val="000000"/>
                <w:sz w:val="24"/>
                <w:szCs w:val="32"/>
                <w:lang w:val="en-US" w:eastAsia="zh-CN"/>
              </w:rPr>
              <w:t>不收取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0" w:hRule="exact"/>
          <w:jc w:val="center"/>
        </w:trPr>
        <w:tc>
          <w:tcPr>
            <w:tcW w:w="745" w:type="dxa"/>
            <w:vAlign w:val="center"/>
          </w:tcPr>
          <w:p>
            <w:pPr>
              <w:pStyle w:val="22"/>
              <w:ind w:right="230"/>
              <w:jc w:val="center"/>
              <w:rPr>
                <w:color w:val="000000"/>
                <w:lang w:val="zh-CN"/>
              </w:rPr>
            </w:pPr>
            <w:r>
              <w:rPr>
                <w:rFonts w:hint="eastAsia"/>
                <w:color w:val="000000"/>
                <w:lang w:val="zh-CN"/>
              </w:rPr>
              <w:t>13</w:t>
            </w:r>
          </w:p>
        </w:tc>
        <w:tc>
          <w:tcPr>
            <w:tcW w:w="2250" w:type="dxa"/>
            <w:vAlign w:val="center"/>
          </w:tcPr>
          <w:p>
            <w:pPr>
              <w:pStyle w:val="22"/>
              <w:jc w:val="center"/>
              <w:rPr>
                <w:color w:val="000000"/>
                <w:lang w:val="zh-CN"/>
              </w:rPr>
            </w:pPr>
            <w:r>
              <w:rPr>
                <w:rFonts w:hint="eastAsia"/>
                <w:color w:val="000000"/>
                <w:lang w:val="zh-CN"/>
              </w:rPr>
              <w:t>签字盖章</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投标人必须按照招标文件的规定和要求签字、盖章，未按要求其投标将被拒绝。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5" w:hRule="exact"/>
          <w:jc w:val="center"/>
        </w:trPr>
        <w:tc>
          <w:tcPr>
            <w:tcW w:w="745" w:type="dxa"/>
            <w:tcBorders>
              <w:bottom w:val="single" w:color="auto" w:sz="8" w:space="0"/>
            </w:tcBorders>
            <w:vAlign w:val="center"/>
          </w:tcPr>
          <w:p>
            <w:pPr>
              <w:pStyle w:val="22"/>
              <w:ind w:right="230"/>
              <w:jc w:val="center"/>
              <w:rPr>
                <w:color w:val="000000"/>
                <w:lang w:val="zh-CN"/>
              </w:rPr>
            </w:pPr>
            <w:r>
              <w:rPr>
                <w:rFonts w:hint="eastAsia"/>
                <w:color w:val="000000"/>
                <w:lang w:val="zh-CN"/>
              </w:rPr>
              <w:t>14</w:t>
            </w:r>
          </w:p>
        </w:tc>
        <w:tc>
          <w:tcPr>
            <w:tcW w:w="2250" w:type="dxa"/>
            <w:vAlign w:val="center"/>
          </w:tcPr>
          <w:p>
            <w:pPr>
              <w:pStyle w:val="22"/>
              <w:jc w:val="center"/>
              <w:rPr>
                <w:color w:val="000000"/>
                <w:lang w:val="zh-CN"/>
              </w:rPr>
            </w:pPr>
            <w:r>
              <w:rPr>
                <w:rFonts w:hint="eastAsia"/>
                <w:color w:val="000000"/>
                <w:lang w:val="zh-CN"/>
              </w:rPr>
              <w:t>投标文件份数</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FF"/>
                <w:sz w:val="24"/>
                <w:szCs w:val="32"/>
                <w:lang w:val="zh-CN"/>
              </w:rPr>
              <w:t>正本1份；副本</w:t>
            </w:r>
            <w:r>
              <w:rPr>
                <w:rFonts w:hint="eastAsia" w:ascii="宋体" w:hAnsi="宋体" w:cs="宋体"/>
                <w:color w:val="0000FF"/>
                <w:sz w:val="24"/>
                <w:szCs w:val="32"/>
                <w:lang w:val="en-US" w:eastAsia="zh-CN"/>
              </w:rPr>
              <w:t>1</w:t>
            </w:r>
            <w:r>
              <w:rPr>
                <w:rFonts w:hint="eastAsia" w:ascii="宋体" w:hAnsi="宋体" w:cs="宋体"/>
                <w:color w:val="0000FF"/>
                <w:sz w:val="24"/>
                <w:szCs w:val="32"/>
                <w:lang w:val="zh-CN"/>
              </w:rPr>
              <w:t>份；用于唱标的“开标一览表”1份。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96" w:hRule="exact"/>
          <w:jc w:val="center"/>
        </w:trPr>
        <w:tc>
          <w:tcPr>
            <w:tcW w:w="745" w:type="dxa"/>
            <w:vAlign w:val="center"/>
          </w:tcPr>
          <w:p>
            <w:pPr>
              <w:pStyle w:val="22"/>
              <w:ind w:right="230"/>
              <w:jc w:val="center"/>
              <w:rPr>
                <w:color w:val="000000"/>
                <w:lang w:val="zh-CN"/>
              </w:rPr>
            </w:pPr>
            <w:r>
              <w:rPr>
                <w:rFonts w:hint="eastAsia"/>
                <w:color w:val="000000"/>
                <w:lang w:val="zh-CN"/>
              </w:rPr>
              <w:t>15</w:t>
            </w:r>
          </w:p>
        </w:tc>
        <w:tc>
          <w:tcPr>
            <w:tcW w:w="2250" w:type="dxa"/>
            <w:tcBorders>
              <w:bottom w:val="single" w:color="auto" w:sz="8" w:space="0"/>
            </w:tcBorders>
            <w:vAlign w:val="center"/>
          </w:tcPr>
          <w:p>
            <w:pPr>
              <w:pStyle w:val="22"/>
              <w:jc w:val="center"/>
              <w:rPr>
                <w:color w:val="000000"/>
                <w:lang w:val="zh-CN"/>
              </w:rPr>
            </w:pPr>
            <w:r>
              <w:rPr>
                <w:rFonts w:hint="eastAsia"/>
                <w:color w:val="000000"/>
                <w:lang w:val="zh-CN"/>
              </w:rPr>
              <w:t>投标文件的装订</w:t>
            </w:r>
          </w:p>
        </w:tc>
        <w:tc>
          <w:tcPr>
            <w:tcW w:w="6627" w:type="dxa"/>
            <w:tcBorders>
              <w:bottom w:val="single" w:color="auto" w:sz="8" w:space="0"/>
            </w:tcBorders>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用于唱标的“开标一览表”</w:t>
            </w:r>
            <w:r>
              <w:rPr>
                <w:rFonts w:hint="eastAsia" w:ascii="宋体" w:hAnsi="宋体" w:cs="宋体"/>
                <w:color w:val="000000"/>
                <w:sz w:val="24"/>
                <w:szCs w:val="32"/>
                <w:lang w:val="en-US" w:eastAsia="zh-CN"/>
              </w:rPr>
              <w:t>单独</w:t>
            </w:r>
            <w:r>
              <w:rPr>
                <w:rFonts w:hint="eastAsia" w:ascii="宋体" w:hAnsi="宋体" w:cs="宋体"/>
                <w:color w:val="000000"/>
                <w:sz w:val="24"/>
                <w:szCs w:val="32"/>
                <w:lang w:val="zh-CN"/>
              </w:rPr>
              <w:t>装订</w:t>
            </w:r>
            <w:r>
              <w:rPr>
                <w:rFonts w:hint="eastAsia" w:ascii="宋体" w:hAnsi="宋体" w:cs="宋体"/>
                <w:color w:val="000000"/>
                <w:sz w:val="24"/>
                <w:szCs w:val="32"/>
                <w:lang w:val="en-US" w:eastAsia="zh-CN"/>
              </w:rPr>
              <w:t>并密封</w:t>
            </w:r>
            <w:r>
              <w:rPr>
                <w:rFonts w:hint="eastAsia" w:ascii="宋体" w:hAnsi="宋体" w:cs="宋体"/>
                <w:color w:val="000000"/>
                <w:sz w:val="24"/>
                <w:szCs w:val="32"/>
                <w:lang w:val="zh-CN"/>
              </w:rPr>
              <w:t>。</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正本和副本必须使用胶装。</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投标文件副本由其正本复制（复印）而成（包括证明文件）。</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副本和正本不一致时，以正本为准，但副本和正本内容不一致造成的评标差错由投标人自行承担。</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未按要求装订其投标将被拒绝。</w:t>
            </w: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23"/>
              <w:spacing w:before="120" w:beforeLines="50" w:after="120" w:afterLines="50" w:line="400" w:lineRule="exact"/>
              <w:ind w:firstLine="0" w:firstLineChars="0"/>
              <w:rPr>
                <w:rFonts w:ascii="宋体" w:hAnsi="宋体" w:cs="宋体"/>
                <w:color w:val="000000"/>
                <w:sz w:val="24"/>
                <w:szCs w:val="32"/>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22" w:hRule="exact"/>
          <w:jc w:val="center"/>
        </w:trPr>
        <w:tc>
          <w:tcPr>
            <w:tcW w:w="745" w:type="dxa"/>
            <w:vAlign w:val="center"/>
          </w:tcPr>
          <w:p>
            <w:pPr>
              <w:pStyle w:val="22"/>
              <w:ind w:right="230"/>
              <w:jc w:val="center"/>
              <w:rPr>
                <w:color w:val="000000"/>
                <w:lang w:val="zh-CN"/>
              </w:rPr>
            </w:pPr>
            <w:r>
              <w:rPr>
                <w:rFonts w:hint="eastAsia"/>
                <w:color w:val="000000"/>
                <w:lang w:val="zh-CN"/>
              </w:rPr>
              <w:t>16</w:t>
            </w:r>
          </w:p>
        </w:tc>
        <w:tc>
          <w:tcPr>
            <w:tcW w:w="2250" w:type="dxa"/>
            <w:vAlign w:val="center"/>
          </w:tcPr>
          <w:p>
            <w:pPr>
              <w:pStyle w:val="23"/>
              <w:spacing w:before="120" w:beforeLines="50" w:after="120" w:afterLines="50" w:line="400" w:lineRule="exact"/>
              <w:ind w:firstLine="0" w:firstLineChars="0"/>
              <w:jc w:val="center"/>
              <w:rPr>
                <w:rFonts w:hint="eastAsia" w:ascii="宋体" w:hAnsi="宋体" w:cs="宋体"/>
                <w:color w:val="000000"/>
                <w:sz w:val="24"/>
                <w:szCs w:val="32"/>
                <w:lang w:val="zh-CN"/>
              </w:rPr>
            </w:pPr>
            <w:r>
              <w:rPr>
                <w:rFonts w:hint="eastAsia" w:ascii="宋体" w:hAnsi="宋体" w:cs="宋体"/>
                <w:color w:val="000000"/>
                <w:sz w:val="24"/>
                <w:szCs w:val="32"/>
                <w:lang w:val="zh-CN"/>
              </w:rPr>
              <w:t>投标文件封面及投标文件外层密封袋的标注</w:t>
            </w:r>
          </w:p>
        </w:tc>
        <w:tc>
          <w:tcPr>
            <w:tcW w:w="6627" w:type="dxa"/>
            <w:vAlign w:val="center"/>
          </w:tcPr>
          <w:p>
            <w:pPr>
              <w:pStyle w:val="23"/>
              <w:spacing w:before="120" w:beforeLines="50" w:after="120" w:afterLines="50" w:line="400" w:lineRule="exact"/>
              <w:ind w:firstLine="0" w:firstLineChars="0"/>
              <w:rPr>
                <w:rFonts w:hint="eastAsia" w:ascii="宋体" w:hAnsi="宋体" w:cs="宋体"/>
                <w:color w:val="000000"/>
                <w:sz w:val="24"/>
                <w:szCs w:val="32"/>
                <w:lang w:val="zh-CN"/>
              </w:rPr>
            </w:pPr>
            <w:r>
              <w:rPr>
                <w:rFonts w:hint="eastAsia" w:ascii="宋体" w:hAnsi="宋体" w:cs="宋体"/>
                <w:color w:val="000000"/>
                <w:sz w:val="24"/>
                <w:szCs w:val="32"/>
                <w:lang w:val="zh-CN"/>
              </w:rPr>
              <w:t>投标文件正本、副本、开标一览表、外层密封袋的封面上均应标明：法定代表人或其代理人、投标人名称（盖章）、年月日；并分别标明“正本”、“副本”、“开标一览表”字样。</w:t>
            </w:r>
          </w:p>
          <w:p>
            <w:pPr>
              <w:pStyle w:val="23"/>
              <w:spacing w:before="120" w:beforeLines="50" w:after="120" w:afterLines="50" w:line="400" w:lineRule="exact"/>
              <w:ind w:firstLine="0" w:firstLineChars="0"/>
              <w:rPr>
                <w:rFonts w:hint="eastAsia" w:ascii="宋体" w:hAnsi="宋体" w:cs="宋体"/>
                <w:color w:val="000000"/>
                <w:sz w:val="24"/>
                <w:szCs w:val="32"/>
                <w:lang w:val="zh-CN"/>
              </w:rPr>
            </w:pPr>
            <w:r>
              <w:rPr>
                <w:rFonts w:hint="eastAsia" w:ascii="宋体" w:hAnsi="宋体" w:cs="宋体"/>
                <w:color w:val="000000"/>
                <w:sz w:val="24"/>
                <w:szCs w:val="32"/>
                <w:lang w:val="zh-CN"/>
              </w:rPr>
              <w:t>所有外层密封袋的封口处应粘贴牢固，并加盖密封章（投标人印章）。未按要求密封其投标将被拒绝。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33"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17</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递交标书、开标地点</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en-US" w:eastAsia="zh-CN"/>
              </w:rPr>
              <w:t>南江县妇幼保健院第二综合大楼十四楼会议室</w:t>
            </w:r>
            <w:r>
              <w:rPr>
                <w:rFonts w:hint="eastAsia" w:ascii="宋体" w:hAnsi="宋体" w:cs="宋体"/>
                <w:color w:val="000000"/>
                <w:sz w:val="24"/>
                <w:szCs w:val="32"/>
                <w:lang w:val="zh-CN"/>
              </w:rPr>
              <w:t>（地址：</w:t>
            </w:r>
            <w:r>
              <w:rPr>
                <w:rFonts w:hint="eastAsia" w:ascii="宋体" w:hAnsi="宋体" w:cs="宋体"/>
                <w:color w:val="000000"/>
                <w:sz w:val="24"/>
                <w:szCs w:val="32"/>
                <w:lang w:val="en-US" w:eastAsia="zh-CN"/>
              </w:rPr>
              <w:t>南江县集州街道米仓山大道文庙滨河路168号</w:t>
            </w:r>
            <w:r>
              <w:rPr>
                <w:rFonts w:hint="eastAsia" w:ascii="宋体" w:hAnsi="宋体" w:cs="宋体"/>
                <w:color w:val="000000"/>
                <w:sz w:val="24"/>
                <w:szCs w:val="32"/>
                <w:lang w:val="zh-CN"/>
              </w:rPr>
              <w:t>）；</w:t>
            </w:r>
            <w:r>
              <w:rPr>
                <w:rFonts w:hint="eastAsia" w:ascii="宋体" w:hAnsi="宋体" w:cs="宋体"/>
                <w:b/>
                <w:bCs/>
                <w:color w:val="000000"/>
                <w:sz w:val="24"/>
                <w:szCs w:val="32"/>
                <w:lang w:val="zh-CN"/>
              </w:rPr>
              <w:t>参加开标现场会时，供应商的法定代表人或其代理人须携带居民身份证原件或有效身份证明，</w:t>
            </w:r>
            <w:r>
              <w:rPr>
                <w:rFonts w:hint="eastAsia" w:ascii="宋体" w:hAnsi="宋体" w:cs="宋体"/>
                <w:b/>
                <w:bCs/>
                <w:color w:val="000000"/>
                <w:sz w:val="24"/>
                <w:szCs w:val="32"/>
                <w:lang w:val="en-US" w:eastAsia="zh-CN"/>
              </w:rPr>
              <w:t>并按照新冠肺炎疫情防控要求提供48小时内的核酸检测报告（纸质版或手机查询截图打印版）</w:t>
            </w:r>
            <w:r>
              <w:rPr>
                <w:rFonts w:hint="eastAsia" w:ascii="宋体" w:hAnsi="宋体" w:cs="宋体"/>
                <w:color w:val="000000"/>
                <w:sz w:val="24"/>
                <w:szCs w:val="32"/>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4"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18</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资格审查</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请按招标文件要求提供相关资格证明文件的原件或复印件。若提供的资格证明文件不全或不实，将导致其投标或中标资格被取消。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9"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19</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招标代理服务费</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en-US" w:eastAsia="zh-CN"/>
              </w:rPr>
              <w:t>无</w:t>
            </w:r>
            <w:r>
              <w:rPr>
                <w:rFonts w:hint="eastAsia" w:ascii="宋体" w:hAnsi="宋体" w:cs="宋体"/>
                <w:color w:val="000000"/>
                <w:sz w:val="24"/>
                <w:szCs w:val="32"/>
                <w:lang w:val="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55"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尽职考察</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评标结束后，采购人根据需要可以组织考察组对询价小组通过评标推荐的中标候选人的相关投标资质、项目参与人员资质等进行尽职考察。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49" w:hRule="exact"/>
          <w:jc w:val="center"/>
        </w:trPr>
        <w:tc>
          <w:tcPr>
            <w:tcW w:w="745" w:type="dxa"/>
            <w:vAlign w:val="center"/>
          </w:tcPr>
          <w:p>
            <w:pPr>
              <w:pStyle w:val="23"/>
              <w:spacing w:before="120" w:beforeLines="50" w:after="120" w:afterLines="50" w:line="400" w:lineRule="exact"/>
              <w:ind w:firstLine="0" w:firstLineChars="0"/>
              <w:jc w:val="center"/>
              <w:rPr>
                <w:rFonts w:ascii="宋体" w:hAnsi="宋体" w:cs="宋体"/>
                <w:color w:val="000000"/>
                <w:sz w:val="24"/>
                <w:szCs w:val="32"/>
                <w:lang w:val="zh-CN"/>
              </w:rPr>
            </w:pPr>
            <w:r>
              <w:rPr>
                <w:rFonts w:hint="eastAsia" w:ascii="宋体" w:hAnsi="宋体" w:cs="宋体"/>
                <w:color w:val="000000"/>
                <w:sz w:val="24"/>
                <w:szCs w:val="32"/>
                <w:lang w:val="zh-CN"/>
              </w:rPr>
              <w:t>21</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中标人确定</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根据尽职考察情况确定的中标人候选人，在</w:t>
            </w:r>
            <w:r>
              <w:rPr>
                <w:rFonts w:hint="eastAsia" w:ascii="宋体" w:hAnsi="宋体" w:cs="宋体"/>
                <w:color w:val="000000"/>
                <w:sz w:val="24"/>
                <w:szCs w:val="32"/>
                <w:lang w:val="en-US" w:eastAsia="zh-CN"/>
              </w:rPr>
              <w:t>南江县妇幼保健院官网</w:t>
            </w:r>
            <w:r>
              <w:rPr>
                <w:rFonts w:hint="eastAsia" w:ascii="宋体" w:hAnsi="宋体" w:cs="宋体"/>
                <w:color w:val="000000"/>
                <w:sz w:val="24"/>
                <w:szCs w:val="32"/>
                <w:lang w:val="zh-CN"/>
              </w:rPr>
              <w:t>上进行公示。公示期结束后，采购人按照公示情况确定中标人，并向中标人发出中标通知书。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6" w:hRule="exact"/>
          <w:jc w:val="center"/>
        </w:trPr>
        <w:tc>
          <w:tcPr>
            <w:tcW w:w="745"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20</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中标通知书领取</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领取中标通知书时，领取人须提交法定代表人授权书或介绍信原件和领取人身份证复印件（并携领取人身份证原件备查）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5" w:hRule="exact"/>
          <w:jc w:val="center"/>
        </w:trPr>
        <w:tc>
          <w:tcPr>
            <w:tcW w:w="745"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履约保证金</w:t>
            </w:r>
          </w:p>
        </w:tc>
        <w:tc>
          <w:tcPr>
            <w:tcW w:w="6627" w:type="dxa"/>
            <w:vAlign w:val="center"/>
          </w:tcPr>
          <w:p>
            <w:pPr>
              <w:pStyle w:val="23"/>
              <w:spacing w:before="120" w:beforeLines="50" w:after="120" w:afterLines="50" w:line="400" w:lineRule="exact"/>
              <w:ind w:firstLine="0" w:firstLineChars="0"/>
              <w:rPr>
                <w:rFonts w:hint="default" w:ascii="宋体" w:hAnsi="宋体" w:eastAsia="宋体" w:cs="宋体"/>
                <w:color w:val="000000"/>
                <w:sz w:val="24"/>
                <w:szCs w:val="32"/>
                <w:lang w:val="en-US" w:eastAsia="zh-CN"/>
              </w:rPr>
            </w:pPr>
            <w:r>
              <w:rPr>
                <w:rFonts w:hint="eastAsia" w:ascii="宋体" w:hAnsi="宋体" w:cs="宋体"/>
                <w:color w:val="000000"/>
                <w:sz w:val="24"/>
                <w:szCs w:val="32"/>
                <w:lang w:val="en-US" w:eastAsia="zh-CN"/>
              </w:rPr>
              <w:t>不收取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834" w:hRule="exact"/>
          <w:jc w:val="center"/>
        </w:trPr>
        <w:tc>
          <w:tcPr>
            <w:tcW w:w="745"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22</w:t>
            </w:r>
          </w:p>
        </w:tc>
        <w:tc>
          <w:tcPr>
            <w:tcW w:w="2250"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低于成本价不正当</w:t>
            </w:r>
            <w:r>
              <w:rPr>
                <w:rFonts w:hint="eastAsia" w:ascii="宋体" w:hAnsi="宋体" w:cs="宋体"/>
                <w:color w:val="000000"/>
                <w:sz w:val="24"/>
                <w:szCs w:val="32"/>
                <w:lang w:val="zh-CN"/>
              </w:rPr>
              <w:tab/>
            </w:r>
            <w:r>
              <w:rPr>
                <w:rFonts w:hint="eastAsia" w:ascii="宋体" w:hAnsi="宋体" w:cs="宋体"/>
                <w:color w:val="000000"/>
                <w:sz w:val="24"/>
                <w:szCs w:val="32"/>
                <w:lang w:val="zh-CN"/>
              </w:rPr>
              <w:t>竞争预防措施</w:t>
            </w:r>
          </w:p>
        </w:tc>
        <w:tc>
          <w:tcPr>
            <w:tcW w:w="6627" w:type="dxa"/>
            <w:vAlign w:val="center"/>
          </w:tcPr>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在评标过程中，询价小组认为供应商的报价明显低于其他通过符合性审查投标人的报价，有可能影响产品质量或者不能诚信履约的，应当要求其在评标现场合理的时间内提供书面说明，必要时提交相关证明材料；投标人不能证明其报价合理性的，询价小组应当将其作为无效投标处理。投标人书面说明应当按照国家财务会计制度的规定要求，逐项就投标人提供的货物、服务的主营业务成本（应根据供应商企业类型予以区别）、税金及附加、销售费用、管理费用、财务费用等成本构成事项详细陈述。</w:t>
            </w:r>
          </w:p>
          <w:p>
            <w:pPr>
              <w:pStyle w:val="23"/>
              <w:spacing w:before="120" w:beforeLines="50" w:after="120" w:afterLines="50" w:line="400" w:lineRule="exact"/>
              <w:ind w:firstLine="0" w:firstLineChars="0"/>
              <w:rPr>
                <w:rFonts w:ascii="宋体" w:hAnsi="宋体" w:cs="宋体"/>
                <w:color w:val="000000"/>
                <w:sz w:val="24"/>
                <w:szCs w:val="32"/>
                <w:lang w:val="zh-CN"/>
              </w:rPr>
            </w:pPr>
            <w:r>
              <w:rPr>
                <w:rFonts w:hint="eastAsia" w:ascii="宋体" w:hAnsi="宋体" w:cs="宋体"/>
                <w:color w:val="000000"/>
                <w:sz w:val="24"/>
                <w:szCs w:val="32"/>
                <w:lang w:val="zh-CN"/>
              </w:rPr>
              <w:t>投标人书面说明应当签字确认或者加盖公章，否则无效。书面说明的签字确认，投标人为法人的，由其法定代表人（或单位负责人）或者授权委托人签字确认；投标人为其他组织的，由其主要负责人或者授权委托人签字确认；投标人为自然人的，由其本人或者授权委托人签字确认。</w:t>
            </w:r>
          </w:p>
          <w:p>
            <w:pPr>
              <w:pStyle w:val="23"/>
              <w:spacing w:before="120" w:beforeLines="50" w:after="120" w:afterLines="50" w:line="400" w:lineRule="exact"/>
              <w:ind w:firstLine="0" w:firstLineChars="0"/>
              <w:rPr>
                <w:rFonts w:ascii="宋体" w:hAnsi="宋体" w:cs="宋体"/>
                <w:color w:val="000000"/>
                <w:sz w:val="24"/>
                <w:szCs w:val="32"/>
                <w:lang w:val="zh-CN" w:eastAsia="zh-TW"/>
              </w:rPr>
            </w:pPr>
            <w:r>
              <w:rPr>
                <w:rFonts w:hint="eastAsia" w:ascii="宋体" w:hAnsi="宋体" w:cs="宋体"/>
                <w:color w:val="000000"/>
                <w:sz w:val="24"/>
                <w:szCs w:val="32"/>
                <w:lang w:val="zh-CN"/>
              </w:rPr>
              <w:t>投标人提供书面说明后，询价小组应当结合采购项目采购需求、专业实际情况、投标人财务状况报告、与其他投标人比较情况等就投标人书面说明进行审查评价。投标人拒绝或者变相拒绝提供有效书面说明或者书面说明不能证明其报价合理性的，询价小组应当将其投标文件作为无效处理。</w:t>
            </w:r>
          </w:p>
        </w:tc>
      </w:tr>
      <w:bookmarkEnd w:id="7"/>
      <w:bookmarkEnd w:id="8"/>
      <w:bookmarkEnd w:id="9"/>
      <w:bookmarkEnd w:id="10"/>
      <w:bookmarkEnd w:id="11"/>
    </w:tbl>
    <w:p>
      <w:pPr>
        <w:pStyle w:val="23"/>
        <w:spacing w:before="120" w:beforeLines="50" w:after="120" w:afterLines="50" w:line="400" w:lineRule="exact"/>
        <w:ind w:firstLine="0" w:firstLineChars="0"/>
        <w:rPr>
          <w:rFonts w:ascii="宋体" w:hAnsi="宋体" w:cs="宋体"/>
          <w:color w:val="000000"/>
          <w:sz w:val="24"/>
          <w:szCs w:val="32"/>
          <w:lang w:val="zh-CN"/>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16"/>
        <w:ind w:firstLine="0" w:firstLineChars="0"/>
        <w:rPr>
          <w:rFonts w:ascii="宋体" w:hAnsi="宋体" w:cs="宋体"/>
        </w:rPr>
      </w:pPr>
    </w:p>
    <w:p>
      <w:pPr>
        <w:pStyle w:val="5"/>
        <w:numPr>
          <w:ilvl w:val="0"/>
          <w:numId w:val="1"/>
        </w:numPr>
        <w:spacing w:line="400" w:lineRule="exact"/>
        <w:jc w:val="center"/>
        <w:rPr>
          <w:rFonts w:ascii="宋体" w:hAnsi="宋体" w:eastAsia="宋体" w:cs="宋体"/>
          <w:bCs w:val="0"/>
          <w:color w:val="000000"/>
          <w:sz w:val="24"/>
          <w:szCs w:val="24"/>
        </w:rPr>
      </w:pPr>
      <w:r>
        <w:rPr>
          <w:rFonts w:hint="eastAsia" w:ascii="宋体" w:hAnsi="宋体" w:eastAsia="宋体" w:cs="宋体"/>
          <w:bCs w:val="0"/>
          <w:color w:val="000000"/>
          <w:sz w:val="24"/>
          <w:szCs w:val="24"/>
        </w:rPr>
        <w:t>总  则</w:t>
      </w:r>
    </w:p>
    <w:p>
      <w:pPr>
        <w:pStyle w:val="6"/>
        <w:spacing w:line="360" w:lineRule="exact"/>
        <w:ind w:firstLine="482" w:firstLineChars="200"/>
        <w:rPr>
          <w:rFonts w:ascii="宋体" w:hAnsi="宋体" w:cs="宋体"/>
          <w:color w:val="000000"/>
          <w:sz w:val="24"/>
          <w:szCs w:val="24"/>
        </w:rPr>
      </w:pPr>
      <w:bookmarkStart w:id="16" w:name="_Toc18697"/>
      <w:bookmarkStart w:id="17" w:name="_Toc365468130"/>
      <w:bookmarkStart w:id="18" w:name="_Toc22730"/>
      <w:bookmarkStart w:id="19" w:name="_Toc454373533"/>
      <w:r>
        <w:rPr>
          <w:rFonts w:hint="eastAsia" w:ascii="宋体" w:hAnsi="宋体" w:cs="宋体"/>
          <w:color w:val="000000"/>
          <w:sz w:val="24"/>
          <w:szCs w:val="24"/>
        </w:rPr>
        <w:t>1. 适用范围</w:t>
      </w:r>
      <w:bookmarkEnd w:id="16"/>
      <w:bookmarkEnd w:id="17"/>
      <w:bookmarkEnd w:id="18"/>
      <w:bookmarkEnd w:id="19"/>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1.1 本招标文件仅适用于本次公开招标采购项目。</w:t>
      </w:r>
    </w:p>
    <w:p>
      <w:pPr>
        <w:pStyle w:val="6"/>
        <w:spacing w:line="360" w:lineRule="exact"/>
        <w:ind w:firstLine="482" w:firstLineChars="200"/>
        <w:rPr>
          <w:rFonts w:ascii="宋体" w:hAnsi="宋体" w:cs="宋体"/>
          <w:color w:val="000000"/>
          <w:sz w:val="24"/>
          <w:szCs w:val="24"/>
        </w:rPr>
      </w:pPr>
      <w:bookmarkStart w:id="20" w:name="_Toc454373534"/>
      <w:bookmarkStart w:id="21" w:name="_Toc20621"/>
      <w:bookmarkStart w:id="22" w:name="_Toc12643"/>
      <w:bookmarkStart w:id="23" w:name="_Toc365468131"/>
      <w:r>
        <w:rPr>
          <w:rFonts w:hint="eastAsia" w:ascii="宋体" w:hAnsi="宋体" w:cs="宋体"/>
          <w:color w:val="000000"/>
          <w:sz w:val="24"/>
          <w:szCs w:val="24"/>
        </w:rPr>
        <w:t>2. 有关定义</w:t>
      </w:r>
      <w:bookmarkEnd w:id="20"/>
      <w:bookmarkEnd w:id="21"/>
      <w:bookmarkEnd w:id="22"/>
      <w:bookmarkEnd w:id="23"/>
    </w:p>
    <w:p>
      <w:pPr>
        <w:tabs>
          <w:tab w:val="left" w:pos="7665"/>
        </w:tabs>
        <w:spacing w:line="360" w:lineRule="exact"/>
        <w:ind w:firstLine="480" w:firstLineChars="200"/>
        <w:rPr>
          <w:rFonts w:ascii="宋体" w:hAnsi="宋体" w:cs="宋体"/>
          <w:sz w:val="24"/>
        </w:rPr>
      </w:pPr>
      <w:r>
        <w:rPr>
          <w:rFonts w:hint="eastAsia" w:ascii="宋体" w:hAnsi="宋体" w:cs="宋体"/>
          <w:sz w:val="24"/>
        </w:rPr>
        <w:t>2.1  本次招标的采购人是</w:t>
      </w:r>
      <w:r>
        <w:rPr>
          <w:rFonts w:hint="eastAsia" w:ascii="宋体" w:hAnsi="宋体" w:cs="宋体"/>
          <w:b/>
          <w:bCs/>
          <w:sz w:val="24"/>
          <w:u w:val="single"/>
          <w:lang w:val="en-US" w:eastAsia="zh-CN"/>
        </w:rPr>
        <w:t>南江县妇幼保健院</w:t>
      </w:r>
      <w:r>
        <w:rPr>
          <w:rFonts w:hint="eastAsia" w:ascii="宋体" w:hAnsi="宋体" w:cs="宋体"/>
          <w:sz w:val="24"/>
        </w:rPr>
        <w:t>。</w:t>
      </w:r>
    </w:p>
    <w:p>
      <w:pPr>
        <w:tabs>
          <w:tab w:val="left" w:pos="7665"/>
        </w:tabs>
        <w:spacing w:line="360" w:lineRule="exact"/>
        <w:ind w:firstLine="480" w:firstLineChars="200"/>
        <w:rPr>
          <w:rFonts w:ascii="宋体" w:hAnsi="宋体" w:cs="宋体"/>
          <w:sz w:val="24"/>
        </w:rPr>
      </w:pPr>
      <w:r>
        <w:rPr>
          <w:rFonts w:hint="eastAsia" w:ascii="宋体" w:hAnsi="宋体" w:cs="宋体"/>
          <w:sz w:val="24"/>
        </w:rPr>
        <w:t>2.2 “采购代理机构” 系指根据采购人的委托依法办理招标事宜的采购机构。本次招标的采购代理机构是</w:t>
      </w:r>
      <w:r>
        <w:rPr>
          <w:rFonts w:hint="eastAsia"/>
          <w:b/>
          <w:bCs/>
          <w:color w:val="000000"/>
          <w:sz w:val="24"/>
          <w:u w:val="single"/>
          <w:lang w:val="en-US" w:eastAsia="zh-CN"/>
        </w:rPr>
        <w:t>无</w:t>
      </w:r>
      <w:r>
        <w:rPr>
          <w:rFonts w:hint="eastAsia" w:ascii="宋体" w:hAnsi="宋体" w:cs="宋体"/>
          <w:sz w:val="24"/>
        </w:rPr>
        <w:t>。</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2.3 “招标采购单位”系指“采购人”和“采购代理机构”的统称。</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2.4 “投标人”系指购买了招标文件拟参加投标和向采购人提供货物及相应服务的供应商。</w:t>
      </w:r>
    </w:p>
    <w:p>
      <w:pPr>
        <w:pStyle w:val="6"/>
        <w:spacing w:line="360" w:lineRule="exact"/>
        <w:ind w:firstLine="482" w:firstLineChars="200"/>
        <w:rPr>
          <w:rFonts w:ascii="宋体" w:hAnsi="宋体" w:cs="宋体"/>
          <w:color w:val="000000"/>
          <w:sz w:val="24"/>
          <w:szCs w:val="24"/>
        </w:rPr>
      </w:pPr>
      <w:bookmarkStart w:id="24" w:name="_Toc27628"/>
      <w:bookmarkStart w:id="25" w:name="_Toc365468132"/>
      <w:bookmarkStart w:id="26" w:name="_Toc454373535"/>
      <w:bookmarkStart w:id="27" w:name="_Toc283"/>
      <w:r>
        <w:rPr>
          <w:rFonts w:hint="eastAsia" w:ascii="宋体" w:hAnsi="宋体" w:cs="宋体"/>
          <w:color w:val="000000"/>
          <w:sz w:val="24"/>
          <w:szCs w:val="24"/>
        </w:rPr>
        <w:t>3. 合格的投标人</w:t>
      </w:r>
      <w:bookmarkEnd w:id="24"/>
      <w:bookmarkEnd w:id="25"/>
      <w:bookmarkEnd w:id="26"/>
      <w:bookmarkEnd w:id="27"/>
    </w:p>
    <w:p>
      <w:pPr>
        <w:tabs>
          <w:tab w:val="left" w:pos="7665"/>
        </w:tabs>
        <w:spacing w:line="360" w:lineRule="exact"/>
        <w:rPr>
          <w:rFonts w:ascii="宋体" w:hAnsi="宋体" w:cs="宋体"/>
          <w:color w:val="000000"/>
          <w:sz w:val="24"/>
        </w:rPr>
      </w:pPr>
      <w:r>
        <w:rPr>
          <w:rFonts w:hint="eastAsia" w:ascii="宋体" w:hAnsi="宋体" w:cs="宋体"/>
          <w:b/>
          <w:color w:val="000000"/>
          <w:sz w:val="24"/>
        </w:rPr>
        <w:t xml:space="preserve">    </w:t>
      </w:r>
      <w:r>
        <w:rPr>
          <w:rFonts w:hint="eastAsia" w:ascii="宋体" w:hAnsi="宋体" w:cs="宋体"/>
          <w:color w:val="000000"/>
          <w:sz w:val="24"/>
        </w:rPr>
        <w:t>合格的投标人应具备以下条件：</w:t>
      </w:r>
    </w:p>
    <w:p>
      <w:pPr>
        <w:tabs>
          <w:tab w:val="left" w:pos="7665"/>
        </w:tabs>
        <w:spacing w:line="360" w:lineRule="exact"/>
        <w:ind w:firstLine="480" w:firstLineChars="200"/>
        <w:rPr>
          <w:rFonts w:ascii="宋体" w:hAnsi="宋体" w:cs="宋体"/>
          <w:color w:val="000000"/>
          <w:spacing w:val="-4"/>
          <w:sz w:val="24"/>
        </w:rPr>
      </w:pPr>
      <w:r>
        <w:rPr>
          <w:rFonts w:hint="eastAsia" w:ascii="宋体" w:hAnsi="宋体" w:cs="宋体"/>
          <w:color w:val="000000"/>
          <w:sz w:val="24"/>
        </w:rPr>
        <w:t>（1）本招标文件“招标公告”</w:t>
      </w:r>
      <w:r>
        <w:rPr>
          <w:rFonts w:hint="eastAsia" w:ascii="宋体" w:hAnsi="宋体" w:cs="宋体"/>
          <w:color w:val="0C0C0C"/>
          <w:sz w:val="24"/>
        </w:rPr>
        <w:t>第四</w:t>
      </w:r>
      <w:r>
        <w:rPr>
          <w:rFonts w:hint="eastAsia" w:ascii="宋体" w:hAnsi="宋体" w:cs="宋体"/>
          <w:color w:val="000000"/>
          <w:sz w:val="24"/>
        </w:rPr>
        <w:t>条规定的条件</w:t>
      </w:r>
      <w:r>
        <w:rPr>
          <w:rFonts w:hint="eastAsia" w:ascii="宋体" w:hAnsi="宋体" w:cs="宋体"/>
          <w:color w:val="000000"/>
          <w:spacing w:val="-4"/>
          <w:sz w:val="24"/>
        </w:rPr>
        <w:t>；</w:t>
      </w:r>
    </w:p>
    <w:p>
      <w:pPr>
        <w:tabs>
          <w:tab w:val="left" w:pos="7665"/>
        </w:tabs>
        <w:spacing w:line="360" w:lineRule="exact"/>
        <w:rPr>
          <w:rFonts w:ascii="宋体" w:hAnsi="宋体" w:cs="宋体"/>
          <w:color w:val="000000"/>
          <w:sz w:val="24"/>
        </w:rPr>
      </w:pPr>
      <w:r>
        <w:rPr>
          <w:rFonts w:hint="eastAsia" w:ascii="宋体" w:hAnsi="宋体" w:cs="宋体"/>
          <w:color w:val="000000"/>
          <w:sz w:val="24"/>
        </w:rPr>
        <w:t xml:space="preserve">    （2）遵守国家有关的法律、法规、规章和其他政策制度；</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（3）向采购代理机构购买了招标文件并登记备案。</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（4）投标人应承担其编制投标文件与递交文件等参加本次投标活动所涉及的一切费用；无论投标结果如何，前述费用均由投标人自行承担。</w:t>
      </w:r>
    </w:p>
    <w:p>
      <w:pPr>
        <w:pStyle w:val="6"/>
        <w:spacing w:line="360" w:lineRule="exact"/>
        <w:ind w:firstLine="482" w:firstLineChars="200"/>
        <w:rPr>
          <w:rFonts w:ascii="宋体" w:hAnsi="宋体" w:cs="宋体"/>
          <w:color w:val="000000"/>
          <w:sz w:val="24"/>
          <w:szCs w:val="24"/>
        </w:rPr>
      </w:pPr>
      <w:bookmarkStart w:id="28" w:name="_Toc454373536"/>
      <w:bookmarkStart w:id="29" w:name="_Toc18841"/>
      <w:bookmarkStart w:id="30" w:name="_Toc26685"/>
      <w:bookmarkStart w:id="31" w:name="_Toc365468133"/>
      <w:r>
        <w:rPr>
          <w:rFonts w:hint="eastAsia" w:ascii="宋体" w:hAnsi="宋体" w:cs="宋体"/>
          <w:color w:val="000000"/>
          <w:sz w:val="24"/>
          <w:szCs w:val="24"/>
        </w:rPr>
        <w:t>4. 投标费用</w:t>
      </w:r>
      <w:bookmarkEnd w:id="28"/>
      <w:bookmarkEnd w:id="29"/>
      <w:bookmarkEnd w:id="30"/>
      <w:bookmarkEnd w:id="31"/>
    </w:p>
    <w:p>
      <w:pPr>
        <w:tabs>
          <w:tab w:val="left" w:pos="7665"/>
        </w:tabs>
        <w:spacing w:line="360" w:lineRule="exact"/>
        <w:ind w:firstLine="480"/>
        <w:rPr>
          <w:rFonts w:ascii="宋体" w:hAnsi="宋体" w:cs="宋体"/>
          <w:color w:val="000000"/>
          <w:sz w:val="24"/>
        </w:rPr>
      </w:pPr>
      <w:r>
        <w:rPr>
          <w:rFonts w:hint="eastAsia" w:ascii="宋体" w:hAnsi="宋体" w:cs="宋体"/>
          <w:color w:val="000000"/>
          <w:sz w:val="24"/>
        </w:rPr>
        <w:t>投标人参加投标的有关费用由投标人自行承担。不论投标的结果如何，</w:t>
      </w:r>
      <w:r>
        <w:rPr>
          <w:rFonts w:hint="eastAsia" w:ascii="宋体" w:hAnsi="宋体" w:cs="宋体"/>
          <w:color w:val="000000"/>
          <w:sz w:val="24"/>
          <w:lang w:val="en-US" w:eastAsia="zh-CN"/>
        </w:rPr>
        <w:t>南江县妇幼保健院</w:t>
      </w:r>
      <w:r>
        <w:rPr>
          <w:rFonts w:hint="eastAsia" w:ascii="宋体" w:hAnsi="宋体" w:cs="宋体"/>
          <w:color w:val="000000"/>
          <w:sz w:val="24"/>
        </w:rPr>
        <w:t>在任何情况下均无义务和责任承担这些费用。</w:t>
      </w:r>
    </w:p>
    <w:p>
      <w:pPr>
        <w:pStyle w:val="16"/>
        <w:ind w:firstLine="240"/>
        <w:rPr>
          <w:rFonts w:ascii="宋体" w:hAnsi="宋体" w:cs="宋体"/>
          <w:color w:val="000000"/>
          <w:sz w:val="24"/>
        </w:rPr>
      </w:pPr>
    </w:p>
    <w:p>
      <w:pPr>
        <w:pStyle w:val="16"/>
        <w:ind w:firstLine="482" w:firstLineChars="200"/>
        <w:rPr>
          <w:rFonts w:ascii="宋体" w:hAnsi="宋体" w:cs="宋体"/>
          <w:color w:val="000000"/>
          <w:sz w:val="24"/>
          <w:szCs w:val="24"/>
        </w:rPr>
      </w:pPr>
      <w:r>
        <w:rPr>
          <w:rFonts w:hint="eastAsia" w:ascii="宋体" w:hAnsi="宋体" w:cs="宋体"/>
          <w:b/>
          <w:sz w:val="24"/>
        </w:rPr>
        <w:t>5.利害关系供应商处理</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如果投标人之间存在下列互为关联关系的情形之一的，不得同时参加本项目投标（由</w:t>
      </w:r>
      <w:r>
        <w:rPr>
          <w:rFonts w:hint="eastAsia" w:ascii="宋体" w:hAnsi="宋体" w:cs="宋体"/>
          <w:color w:val="000000"/>
          <w:sz w:val="24"/>
          <w:lang w:val="en-US" w:eastAsia="zh-CN"/>
        </w:rPr>
        <w:t>询价小组</w:t>
      </w:r>
      <w:r>
        <w:rPr>
          <w:rFonts w:hint="eastAsia" w:ascii="宋体" w:hAnsi="宋体" w:cs="宋体"/>
          <w:color w:val="000000"/>
          <w:sz w:val="24"/>
        </w:rPr>
        <w:t>负责审核）：</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与采购人存在利害关系可能影响招标公正性的法人、其他组织或者个人，不得参加投标；单位负责人为同一人或者存在控股、管理关系的不同单位；集团公司中母公司与子公司不得同时参加投标；法定代表人为同一人的两个及两个以上法人单位，不得同时参加本项目投标。</w:t>
      </w:r>
    </w:p>
    <w:p>
      <w:pPr>
        <w:pStyle w:val="5"/>
        <w:spacing w:line="360" w:lineRule="exact"/>
        <w:jc w:val="center"/>
        <w:rPr>
          <w:rFonts w:ascii="宋体" w:hAnsi="宋体" w:eastAsia="宋体" w:cs="宋体"/>
          <w:bCs w:val="0"/>
          <w:color w:val="000000"/>
          <w:sz w:val="24"/>
          <w:szCs w:val="24"/>
        </w:rPr>
      </w:pPr>
      <w:bookmarkStart w:id="32" w:name="_Toc365468134"/>
      <w:bookmarkStart w:id="33" w:name="_Toc7024"/>
      <w:bookmarkStart w:id="34" w:name="_Toc454373537"/>
      <w:bookmarkStart w:id="35" w:name="_Toc15517"/>
      <w:r>
        <w:rPr>
          <w:rFonts w:hint="eastAsia" w:ascii="宋体" w:hAnsi="宋体" w:eastAsia="宋体" w:cs="宋体"/>
          <w:bCs w:val="0"/>
          <w:color w:val="000000"/>
          <w:sz w:val="24"/>
          <w:szCs w:val="24"/>
        </w:rPr>
        <w:t>三   招标文件</w:t>
      </w:r>
      <w:bookmarkEnd w:id="32"/>
      <w:bookmarkEnd w:id="33"/>
      <w:bookmarkEnd w:id="34"/>
      <w:bookmarkEnd w:id="35"/>
    </w:p>
    <w:p>
      <w:pPr>
        <w:pStyle w:val="6"/>
        <w:spacing w:line="360" w:lineRule="exact"/>
        <w:ind w:firstLine="482" w:firstLineChars="200"/>
        <w:rPr>
          <w:rFonts w:ascii="宋体" w:hAnsi="宋体" w:cs="宋体"/>
          <w:color w:val="000000"/>
          <w:sz w:val="24"/>
          <w:szCs w:val="24"/>
        </w:rPr>
      </w:pPr>
      <w:bookmarkStart w:id="36" w:name="_Toc454373538"/>
      <w:bookmarkStart w:id="37" w:name="_Toc3860"/>
      <w:bookmarkStart w:id="38" w:name="_Toc25543"/>
      <w:bookmarkStart w:id="39" w:name="_Toc365468135"/>
      <w:r>
        <w:rPr>
          <w:rFonts w:hint="eastAsia" w:ascii="宋体" w:hAnsi="宋体" w:cs="宋体"/>
          <w:color w:val="000000"/>
          <w:sz w:val="24"/>
          <w:szCs w:val="24"/>
        </w:rPr>
        <w:t>6．招标文件的构成</w:t>
      </w:r>
      <w:bookmarkEnd w:id="36"/>
      <w:bookmarkEnd w:id="37"/>
      <w:bookmarkEnd w:id="38"/>
      <w:bookmarkEnd w:id="39"/>
    </w:p>
    <w:p>
      <w:pPr>
        <w:tabs>
          <w:tab w:val="left" w:pos="7665"/>
        </w:tabs>
        <w:spacing w:line="360" w:lineRule="exact"/>
        <w:rPr>
          <w:rFonts w:ascii="宋体" w:hAnsi="宋体" w:cs="宋体"/>
          <w:color w:val="000000"/>
          <w:sz w:val="24"/>
        </w:rPr>
      </w:pPr>
      <w:r>
        <w:rPr>
          <w:rFonts w:hint="eastAsia" w:ascii="宋体" w:hAnsi="宋体" w:cs="宋体"/>
          <w:color w:val="000000"/>
          <w:sz w:val="24"/>
        </w:rPr>
        <w:t xml:space="preserve">    6</w:t>
      </w:r>
      <w:r>
        <w:rPr>
          <w:rFonts w:hint="eastAsia" w:ascii="宋体" w:hAnsi="宋体" w:cs="宋体"/>
          <w:b/>
          <w:bCs/>
          <w:color w:val="000000"/>
          <w:sz w:val="24"/>
        </w:rPr>
        <w:t>.</w:t>
      </w:r>
      <w:r>
        <w:rPr>
          <w:rFonts w:hint="eastAsia" w:ascii="宋体" w:hAnsi="宋体" w:cs="宋体"/>
          <w:color w:val="000000"/>
          <w:sz w:val="24"/>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（一）招标公告；</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（二）投标人须知；</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（三）投标文件格式；</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（四）招标项目技术和商务要求；</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（五）评标办法；</w:t>
      </w:r>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（六）合同主要条款。</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6.2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pacing w:line="360" w:lineRule="exact"/>
        <w:ind w:firstLine="482" w:firstLineChars="200"/>
        <w:rPr>
          <w:rFonts w:ascii="宋体" w:hAnsi="宋体" w:cs="宋体"/>
          <w:color w:val="000000"/>
          <w:sz w:val="24"/>
          <w:szCs w:val="24"/>
        </w:rPr>
      </w:pPr>
      <w:bookmarkStart w:id="40" w:name="_Toc454373539"/>
      <w:bookmarkStart w:id="41" w:name="_Toc365468136"/>
      <w:bookmarkStart w:id="42" w:name="_Toc31892"/>
      <w:bookmarkStart w:id="43" w:name="_Toc15197"/>
      <w:r>
        <w:rPr>
          <w:rFonts w:hint="eastAsia" w:ascii="宋体" w:hAnsi="宋体" w:cs="宋体"/>
          <w:color w:val="000000"/>
          <w:sz w:val="24"/>
          <w:szCs w:val="24"/>
        </w:rPr>
        <w:t>7. 招标文件的澄清和修改</w:t>
      </w:r>
      <w:bookmarkEnd w:id="40"/>
      <w:bookmarkEnd w:id="41"/>
      <w:bookmarkEnd w:id="42"/>
      <w:bookmarkEnd w:id="43"/>
    </w:p>
    <w:p>
      <w:pPr>
        <w:tabs>
          <w:tab w:val="left" w:pos="720"/>
        </w:tabs>
        <w:spacing w:line="360" w:lineRule="exact"/>
        <w:ind w:firstLine="480" w:firstLineChars="200"/>
        <w:rPr>
          <w:rFonts w:ascii="宋体" w:hAnsi="宋体" w:cs="宋体"/>
          <w:color w:val="000000"/>
          <w:sz w:val="24"/>
        </w:rPr>
      </w:pPr>
      <w:r>
        <w:rPr>
          <w:rFonts w:hint="eastAsia" w:ascii="宋体" w:hAnsi="宋体" w:cs="宋体"/>
          <w:color w:val="000000"/>
          <w:sz w:val="24"/>
        </w:rPr>
        <w:t>7.1 在投标截止时间前，招标采购单位无论出于何种原因，可以对招标文件进行澄清或者修改。</w:t>
      </w:r>
    </w:p>
    <w:p>
      <w:pPr>
        <w:spacing w:line="360" w:lineRule="exact"/>
        <w:ind w:firstLine="480" w:firstLineChars="200"/>
        <w:rPr>
          <w:rFonts w:ascii="宋体" w:hAnsi="宋体" w:cs="宋体"/>
          <w:color w:val="000000"/>
          <w:sz w:val="24"/>
        </w:rPr>
      </w:pPr>
      <w:r>
        <w:rPr>
          <w:rFonts w:hint="eastAsia" w:ascii="宋体" w:hAnsi="宋体" w:cs="宋体"/>
          <w:color w:val="000000"/>
          <w:sz w:val="24"/>
        </w:rPr>
        <w:t>7.2 招标采购单位对已发出的招标文件进行澄清或者修改，将在招标文件要求的提交投标文件截止时间</w:t>
      </w:r>
      <w:r>
        <w:rPr>
          <w:rFonts w:hint="eastAsia" w:ascii="宋体" w:hAnsi="宋体" w:cs="宋体"/>
          <w:color w:val="000000"/>
          <w:sz w:val="24"/>
          <w:lang w:val="en-US" w:eastAsia="zh-CN"/>
        </w:rPr>
        <w:t>三</w:t>
      </w:r>
      <w:r>
        <w:rPr>
          <w:rFonts w:hint="eastAsia" w:ascii="宋体" w:hAnsi="宋体" w:cs="宋体"/>
          <w:color w:val="000000"/>
          <w:sz w:val="24"/>
        </w:rPr>
        <w:t>日前进行（不足</w:t>
      </w:r>
      <w:r>
        <w:rPr>
          <w:rFonts w:hint="eastAsia" w:ascii="宋体" w:hAnsi="宋体" w:cs="宋体"/>
          <w:color w:val="000000"/>
          <w:sz w:val="24"/>
          <w:lang w:val="en-US" w:eastAsia="zh-CN"/>
        </w:rPr>
        <w:t>三</w:t>
      </w:r>
      <w:r>
        <w:rPr>
          <w:rFonts w:hint="eastAsia" w:ascii="宋体" w:hAnsi="宋体" w:cs="宋体"/>
          <w:color w:val="000000"/>
          <w:sz w:val="24"/>
        </w:rPr>
        <w:t>日的，采购人将顺延提交投标文件的截止时间），</w:t>
      </w:r>
      <w:r>
        <w:rPr>
          <w:rFonts w:hint="eastAsia" w:ascii="宋体" w:hAnsi="宋体" w:cs="宋体"/>
          <w:color w:val="000000"/>
          <w:sz w:val="24"/>
          <w:lang w:val="en-US" w:eastAsia="zh-CN"/>
        </w:rPr>
        <w:t>并</w:t>
      </w:r>
      <w:r>
        <w:rPr>
          <w:rFonts w:hint="eastAsia" w:ascii="宋体" w:hAnsi="宋体" w:cs="宋体"/>
          <w:color w:val="000000"/>
          <w:sz w:val="24"/>
        </w:rPr>
        <w:t>在</w:t>
      </w:r>
      <w:r>
        <w:rPr>
          <w:rFonts w:hint="eastAsia" w:ascii="宋体" w:hAnsi="宋体" w:cs="宋体"/>
          <w:color w:val="000000"/>
          <w:sz w:val="24"/>
          <w:u w:val="single"/>
          <w:lang w:val="en-US" w:eastAsia="zh-CN"/>
        </w:rPr>
        <w:t>南江县妇幼保健院</w:t>
      </w:r>
      <w:r>
        <w:rPr>
          <w:rFonts w:hint="eastAsia" w:ascii="宋体" w:hAnsi="宋体" w:cs="宋体"/>
          <w:color w:val="000000"/>
          <w:sz w:val="24"/>
        </w:rPr>
        <w:t>上发布更正公告。该澄清或者修改的内容为招标文件的组成部分。</w:t>
      </w:r>
    </w:p>
    <w:p>
      <w:pPr>
        <w:spacing w:line="360" w:lineRule="exact"/>
        <w:ind w:firstLine="480" w:firstLineChars="200"/>
        <w:rPr>
          <w:rFonts w:ascii="宋体" w:hAnsi="宋体" w:cs="宋体"/>
          <w:color w:val="000000"/>
          <w:sz w:val="24"/>
        </w:rPr>
      </w:pPr>
      <w:r>
        <w:rPr>
          <w:rFonts w:hint="eastAsia" w:ascii="宋体" w:hAnsi="宋体" w:cs="宋体"/>
          <w:color w:val="000000"/>
          <w:sz w:val="24"/>
        </w:rPr>
        <w:t>7.3 投标人要求对招标文件进行澄清的，均应在投标截止日前按招标文件中的联系方式，以书面形式通知采购</w:t>
      </w:r>
      <w:r>
        <w:rPr>
          <w:rFonts w:hint="eastAsia" w:ascii="宋体" w:hAnsi="宋体" w:cs="宋体"/>
          <w:color w:val="000000"/>
          <w:sz w:val="24"/>
          <w:lang w:val="en-US" w:eastAsia="zh-CN"/>
        </w:rPr>
        <w:t>人</w:t>
      </w:r>
      <w:r>
        <w:rPr>
          <w:rFonts w:hint="eastAsia" w:ascii="宋体" w:hAnsi="宋体" w:cs="宋体"/>
          <w:color w:val="000000"/>
          <w:sz w:val="24"/>
        </w:rPr>
        <w:t>。</w:t>
      </w:r>
    </w:p>
    <w:p>
      <w:pPr>
        <w:spacing w:line="360" w:lineRule="exact"/>
        <w:ind w:firstLine="480" w:firstLineChars="200"/>
        <w:rPr>
          <w:rFonts w:ascii="宋体" w:hAnsi="宋体" w:cs="宋体"/>
          <w:color w:val="000000"/>
          <w:sz w:val="24"/>
        </w:rPr>
      </w:pPr>
      <w:r>
        <w:rPr>
          <w:rFonts w:hint="eastAsia" w:ascii="宋体" w:hAnsi="宋体" w:cs="宋体"/>
          <w:color w:val="000000"/>
          <w:sz w:val="24"/>
        </w:rPr>
        <w:t>7.4 在投标截止时间前，招标采购单位可以视采购具体情况，延长投标截止时间和开标时间，并在招标文件要求提交投标文件的截止时间3日前，将变更时间在</w:t>
      </w:r>
      <w:r>
        <w:rPr>
          <w:rFonts w:hint="eastAsia" w:ascii="宋体" w:hAnsi="宋体" w:cs="宋体"/>
          <w:color w:val="000000"/>
          <w:sz w:val="24"/>
          <w:u w:val="single"/>
          <w:lang w:val="en-US" w:eastAsia="zh-CN"/>
        </w:rPr>
        <w:t>南江县妇幼保健院官网</w:t>
      </w:r>
      <w:r>
        <w:rPr>
          <w:rFonts w:hint="eastAsia" w:ascii="宋体" w:hAnsi="宋体" w:cs="宋体"/>
          <w:color w:val="000000"/>
          <w:sz w:val="24"/>
        </w:rPr>
        <w:t>上发布变更公告。</w:t>
      </w:r>
    </w:p>
    <w:p>
      <w:pPr>
        <w:pStyle w:val="5"/>
        <w:spacing w:line="360" w:lineRule="exact"/>
        <w:jc w:val="center"/>
        <w:rPr>
          <w:rFonts w:ascii="宋体" w:hAnsi="宋体" w:eastAsia="宋体" w:cs="宋体"/>
          <w:bCs w:val="0"/>
          <w:color w:val="000000"/>
          <w:sz w:val="24"/>
          <w:szCs w:val="24"/>
        </w:rPr>
      </w:pPr>
      <w:bookmarkStart w:id="44" w:name="_Toc365468138"/>
      <w:bookmarkStart w:id="45" w:name="_Toc454373541"/>
      <w:bookmarkStart w:id="46" w:name="_Toc22419"/>
      <w:bookmarkStart w:id="47" w:name="_Toc3654"/>
      <w:r>
        <w:rPr>
          <w:rFonts w:hint="eastAsia" w:ascii="宋体" w:hAnsi="宋体" w:eastAsia="宋体" w:cs="宋体"/>
          <w:bCs w:val="0"/>
          <w:color w:val="000000"/>
          <w:sz w:val="24"/>
          <w:szCs w:val="24"/>
        </w:rPr>
        <w:t>四、投标文件</w:t>
      </w:r>
      <w:bookmarkEnd w:id="44"/>
      <w:bookmarkEnd w:id="45"/>
      <w:bookmarkEnd w:id="46"/>
      <w:bookmarkEnd w:id="47"/>
    </w:p>
    <w:p>
      <w:pPr>
        <w:pStyle w:val="6"/>
        <w:spacing w:line="360" w:lineRule="exact"/>
        <w:ind w:firstLine="482" w:firstLineChars="200"/>
        <w:rPr>
          <w:rFonts w:ascii="宋体" w:hAnsi="宋体" w:cs="宋体"/>
          <w:bCs w:val="0"/>
          <w:color w:val="000000"/>
          <w:sz w:val="24"/>
          <w:szCs w:val="24"/>
        </w:rPr>
      </w:pPr>
      <w:bookmarkStart w:id="48" w:name="_Toc30481"/>
      <w:bookmarkStart w:id="49" w:name="_Toc365468139"/>
      <w:bookmarkStart w:id="50" w:name="_Toc12495"/>
      <w:bookmarkStart w:id="51" w:name="_Toc454373542"/>
      <w:r>
        <w:rPr>
          <w:rFonts w:hint="eastAsia" w:ascii="宋体" w:hAnsi="宋体" w:cs="宋体"/>
          <w:bCs w:val="0"/>
          <w:color w:val="000000"/>
          <w:sz w:val="24"/>
          <w:szCs w:val="24"/>
        </w:rPr>
        <w:t>8．投标文件的语言</w:t>
      </w:r>
      <w:bookmarkEnd w:id="48"/>
      <w:bookmarkEnd w:id="49"/>
      <w:bookmarkEnd w:id="50"/>
      <w:bookmarkEnd w:id="51"/>
    </w:p>
    <w:p>
      <w:pPr>
        <w:spacing w:line="360" w:lineRule="exact"/>
        <w:ind w:firstLine="480" w:firstLineChars="200"/>
        <w:rPr>
          <w:rFonts w:ascii="宋体" w:hAnsi="宋体" w:cs="宋体"/>
          <w:color w:val="000000"/>
          <w:sz w:val="24"/>
        </w:rPr>
      </w:pPr>
      <w:r>
        <w:rPr>
          <w:rFonts w:hint="eastAsia" w:ascii="宋体" w:hAnsi="宋体" w:cs="宋体"/>
          <w:color w:val="000000"/>
          <w:sz w:val="24"/>
        </w:rPr>
        <w:t>8.1 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spacing w:line="360" w:lineRule="exact"/>
        <w:ind w:firstLine="480" w:firstLineChars="200"/>
        <w:rPr>
          <w:rFonts w:ascii="宋体" w:hAnsi="宋体" w:cs="宋体"/>
          <w:color w:val="000000"/>
          <w:sz w:val="24"/>
        </w:rPr>
      </w:pPr>
      <w:r>
        <w:rPr>
          <w:rFonts w:hint="eastAsia" w:ascii="宋体" w:hAnsi="宋体" w:cs="宋体"/>
          <w:color w:val="000000"/>
          <w:sz w:val="24"/>
        </w:rPr>
        <w:t>8.2 翻译的中文资料与外文资料如果出现差异和矛盾时，以中文为准。但不能故意错误翻译，否则，投标人的投标文件将作为无效投标处理。</w:t>
      </w:r>
    </w:p>
    <w:p>
      <w:pPr>
        <w:pStyle w:val="6"/>
        <w:spacing w:line="360" w:lineRule="exact"/>
        <w:ind w:firstLine="482" w:firstLineChars="200"/>
        <w:rPr>
          <w:rFonts w:ascii="宋体" w:hAnsi="宋体" w:cs="宋体"/>
          <w:color w:val="000000"/>
          <w:sz w:val="24"/>
          <w:szCs w:val="24"/>
        </w:rPr>
      </w:pPr>
      <w:bookmarkStart w:id="52" w:name="_Toc454373543"/>
      <w:bookmarkStart w:id="53" w:name="_Toc10799"/>
      <w:bookmarkStart w:id="54" w:name="_Toc21506"/>
      <w:bookmarkStart w:id="55" w:name="_Toc365468140"/>
      <w:r>
        <w:rPr>
          <w:rFonts w:hint="eastAsia" w:ascii="宋体" w:hAnsi="宋体" w:cs="宋体"/>
          <w:color w:val="000000"/>
          <w:sz w:val="24"/>
          <w:szCs w:val="24"/>
        </w:rPr>
        <w:t>9．计量单位</w:t>
      </w:r>
      <w:bookmarkEnd w:id="52"/>
      <w:bookmarkEnd w:id="53"/>
      <w:bookmarkEnd w:id="54"/>
      <w:bookmarkEnd w:id="55"/>
    </w:p>
    <w:p>
      <w:pPr>
        <w:spacing w:line="360" w:lineRule="exact"/>
        <w:ind w:firstLine="470" w:firstLineChars="196"/>
        <w:rPr>
          <w:rFonts w:ascii="宋体" w:hAnsi="宋体" w:cs="宋体"/>
          <w:color w:val="000000"/>
          <w:sz w:val="24"/>
        </w:rPr>
      </w:pPr>
      <w:r>
        <w:rPr>
          <w:rFonts w:hint="eastAsia" w:ascii="宋体" w:hAnsi="宋体" w:cs="宋体"/>
          <w:color w:val="000000"/>
          <w:sz w:val="24"/>
        </w:rPr>
        <w:t>除技术规格及要求中另有规定外，本采购项下的投标均采用国家法定的计量单位。</w:t>
      </w:r>
    </w:p>
    <w:p>
      <w:pPr>
        <w:pStyle w:val="6"/>
        <w:spacing w:line="360" w:lineRule="exact"/>
        <w:ind w:firstLine="482" w:firstLineChars="200"/>
        <w:rPr>
          <w:rFonts w:ascii="宋体" w:hAnsi="宋体" w:cs="宋体"/>
          <w:color w:val="000000"/>
          <w:sz w:val="24"/>
          <w:szCs w:val="24"/>
        </w:rPr>
      </w:pPr>
      <w:bookmarkStart w:id="56" w:name="_Toc365468141"/>
      <w:bookmarkStart w:id="57" w:name="_Toc23176"/>
      <w:bookmarkStart w:id="58" w:name="_Toc454373544"/>
      <w:bookmarkStart w:id="59" w:name="_Toc4070"/>
      <w:r>
        <w:rPr>
          <w:rFonts w:hint="eastAsia" w:ascii="宋体" w:hAnsi="宋体" w:cs="宋体"/>
          <w:color w:val="000000"/>
          <w:sz w:val="24"/>
          <w:szCs w:val="24"/>
        </w:rPr>
        <w:t>10. 投标货币</w:t>
      </w:r>
      <w:bookmarkEnd w:id="56"/>
      <w:bookmarkEnd w:id="57"/>
      <w:bookmarkEnd w:id="58"/>
      <w:bookmarkEnd w:id="59"/>
    </w:p>
    <w:p>
      <w:pPr>
        <w:tabs>
          <w:tab w:val="left" w:pos="7665"/>
        </w:tabs>
        <w:spacing w:line="360" w:lineRule="exact"/>
        <w:ind w:left="13" w:hanging="118"/>
        <w:rPr>
          <w:rFonts w:ascii="宋体" w:hAnsi="宋体" w:cs="宋体"/>
          <w:color w:val="000000"/>
          <w:sz w:val="24"/>
        </w:rPr>
      </w:pPr>
      <w:r>
        <w:rPr>
          <w:rFonts w:hint="eastAsia" w:ascii="宋体" w:hAnsi="宋体" w:cs="宋体"/>
          <w:b/>
          <w:color w:val="000000"/>
          <w:sz w:val="24"/>
        </w:rPr>
        <w:t xml:space="preserve">    </w:t>
      </w:r>
      <w:r>
        <w:rPr>
          <w:rFonts w:hint="eastAsia" w:ascii="宋体" w:hAnsi="宋体" w:cs="宋体"/>
          <w:color w:val="000000"/>
          <w:sz w:val="24"/>
        </w:rPr>
        <w:t xml:space="preserve"> 本次招标项目的投标均以人民币报价。</w:t>
      </w:r>
    </w:p>
    <w:p>
      <w:pPr>
        <w:pStyle w:val="6"/>
        <w:spacing w:line="360" w:lineRule="exact"/>
        <w:ind w:firstLine="482" w:firstLineChars="200"/>
        <w:rPr>
          <w:rFonts w:ascii="宋体" w:hAnsi="宋体" w:cs="宋体"/>
          <w:color w:val="000000"/>
          <w:sz w:val="24"/>
          <w:szCs w:val="24"/>
        </w:rPr>
      </w:pPr>
      <w:bookmarkStart w:id="60" w:name="_Toc30162"/>
      <w:bookmarkStart w:id="61" w:name="_Toc5431"/>
      <w:bookmarkStart w:id="62" w:name="_Toc454373545"/>
      <w:bookmarkStart w:id="63" w:name="_Toc365468142"/>
      <w:r>
        <w:rPr>
          <w:rFonts w:hint="eastAsia" w:ascii="宋体" w:hAnsi="宋体" w:cs="宋体"/>
          <w:color w:val="000000"/>
          <w:sz w:val="24"/>
          <w:szCs w:val="24"/>
        </w:rPr>
        <w:t>11. 联合体投标：本次招标不接受联合体投标</w:t>
      </w:r>
      <w:bookmarkEnd w:id="60"/>
      <w:bookmarkEnd w:id="61"/>
      <w:bookmarkEnd w:id="62"/>
      <w:bookmarkEnd w:id="63"/>
      <w:r>
        <w:rPr>
          <w:rFonts w:hint="eastAsia" w:ascii="宋体" w:hAnsi="宋体" w:cs="宋体"/>
          <w:color w:val="000000"/>
          <w:sz w:val="24"/>
          <w:szCs w:val="24"/>
        </w:rPr>
        <w:t>。</w:t>
      </w:r>
    </w:p>
    <w:p>
      <w:pPr>
        <w:pStyle w:val="6"/>
        <w:spacing w:line="360" w:lineRule="exact"/>
        <w:ind w:firstLine="482" w:firstLineChars="200"/>
        <w:rPr>
          <w:rFonts w:ascii="宋体" w:hAnsi="宋体" w:cs="宋体"/>
          <w:bCs w:val="0"/>
          <w:color w:val="000000"/>
          <w:sz w:val="24"/>
          <w:szCs w:val="24"/>
        </w:rPr>
      </w:pPr>
      <w:bookmarkStart w:id="64" w:name="_Toc7675"/>
      <w:bookmarkStart w:id="65" w:name="_Toc454373546"/>
      <w:bookmarkStart w:id="66" w:name="_Toc17059"/>
      <w:bookmarkStart w:id="67" w:name="_Toc365468143"/>
      <w:r>
        <w:rPr>
          <w:rFonts w:hint="eastAsia" w:ascii="宋体" w:hAnsi="宋体" w:cs="宋体"/>
          <w:bCs w:val="0"/>
          <w:color w:val="000000"/>
          <w:sz w:val="24"/>
          <w:szCs w:val="24"/>
        </w:rPr>
        <w:t>12. 知识产权</w:t>
      </w:r>
      <w:bookmarkEnd w:id="64"/>
      <w:bookmarkEnd w:id="65"/>
      <w:bookmarkEnd w:id="66"/>
      <w:bookmarkEnd w:id="67"/>
    </w:p>
    <w:p>
      <w:pPr>
        <w:pStyle w:val="8"/>
        <w:spacing w:line="360" w:lineRule="exact"/>
        <w:ind w:firstLine="480" w:firstLineChars="200"/>
        <w:rPr>
          <w:rFonts w:ascii="宋体" w:hAnsi="宋体" w:cs="宋体"/>
          <w:color w:val="000000"/>
          <w:sz w:val="24"/>
        </w:rPr>
      </w:pPr>
      <w:r>
        <w:rPr>
          <w:rFonts w:hint="eastAsia" w:ascii="宋体" w:hAnsi="宋体" w:cs="宋体"/>
          <w:color w:val="000000"/>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
        <w:spacing w:line="360" w:lineRule="exact"/>
        <w:ind w:firstLine="482" w:firstLineChars="200"/>
        <w:rPr>
          <w:rFonts w:ascii="宋体" w:hAnsi="宋体" w:cs="宋体"/>
          <w:color w:val="000000"/>
          <w:sz w:val="24"/>
          <w:szCs w:val="24"/>
        </w:rPr>
      </w:pPr>
      <w:bookmarkStart w:id="68" w:name="_Toc21776"/>
      <w:bookmarkStart w:id="69" w:name="_Toc454373547"/>
      <w:bookmarkStart w:id="70" w:name="_Toc11894"/>
      <w:bookmarkStart w:id="71" w:name="_Toc365468144"/>
      <w:r>
        <w:rPr>
          <w:rFonts w:hint="eastAsia" w:ascii="宋体" w:hAnsi="宋体" w:cs="宋体"/>
          <w:color w:val="000000"/>
          <w:sz w:val="24"/>
          <w:szCs w:val="24"/>
        </w:rPr>
        <w:t>13．投标文件的组成</w:t>
      </w:r>
      <w:bookmarkEnd w:id="68"/>
      <w:bookmarkEnd w:id="69"/>
      <w:bookmarkEnd w:id="70"/>
      <w:bookmarkEnd w:id="71"/>
    </w:p>
    <w:p>
      <w:pPr>
        <w:spacing w:line="360" w:lineRule="exact"/>
        <w:ind w:firstLine="470" w:firstLineChars="196"/>
        <w:rPr>
          <w:rFonts w:ascii="宋体" w:hAnsi="宋体" w:cs="宋体"/>
          <w:color w:val="000000"/>
          <w:sz w:val="24"/>
        </w:rPr>
      </w:pPr>
      <w:r>
        <w:rPr>
          <w:rFonts w:hint="eastAsia" w:ascii="宋体" w:hAnsi="宋体" w:cs="宋体"/>
          <w:color w:val="000000"/>
          <w:sz w:val="24"/>
        </w:rPr>
        <w:t xml:space="preserve"> 投标人应按照招标文件的规定和要求编制投标文件，投标人必须保证投标文件所提供的全部资料真实可靠，并接受采购人对其中任何资料进一步审查的要求。投标人编写的投标文件应包括下列部分：</w:t>
      </w:r>
    </w:p>
    <w:p>
      <w:pPr>
        <w:spacing w:line="400" w:lineRule="exact"/>
        <w:ind w:firstLine="470" w:firstLineChars="196"/>
        <w:rPr>
          <w:rFonts w:ascii="宋体" w:hAnsi="宋体" w:cs="宋体"/>
          <w:color w:val="000000"/>
          <w:sz w:val="24"/>
        </w:rPr>
      </w:pPr>
      <w:r>
        <w:rPr>
          <w:rFonts w:hint="eastAsia" w:ascii="宋体" w:hAnsi="宋体" w:cs="宋体"/>
          <w:color w:val="000000"/>
          <w:sz w:val="24"/>
        </w:rPr>
        <w:t xml:space="preserve">13.1 </w:t>
      </w:r>
      <w:r>
        <w:rPr>
          <w:rFonts w:hint="eastAsia" w:ascii="宋体" w:hAnsi="宋体" w:cs="宋体"/>
          <w:b/>
          <w:bCs/>
          <w:color w:val="000000"/>
          <w:sz w:val="24"/>
        </w:rPr>
        <w:t>报价部分</w:t>
      </w:r>
      <w:r>
        <w:rPr>
          <w:rFonts w:hint="eastAsia" w:ascii="宋体" w:hAnsi="宋体" w:cs="宋体"/>
          <w:color w:val="000000"/>
          <w:sz w:val="24"/>
        </w:rPr>
        <w:t>。</w:t>
      </w:r>
      <w:r>
        <w:rPr>
          <w:rFonts w:hint="eastAsia" w:ascii="宋体" w:hAnsi="宋体" w:cs="宋体"/>
          <w:bCs/>
          <w:color w:val="000000"/>
          <w:sz w:val="24"/>
        </w:rPr>
        <w:t>投标人</w:t>
      </w:r>
      <w:r>
        <w:rPr>
          <w:rFonts w:hint="eastAsia" w:ascii="宋体" w:hAnsi="宋体" w:cs="宋体"/>
          <w:color w:val="000000"/>
          <w:sz w:val="24"/>
        </w:rPr>
        <w:t>按照招标文件要求填写的“开标一览表”及“报价明细表”。 本次招标报价要求：</w:t>
      </w:r>
    </w:p>
    <w:p>
      <w:pPr>
        <w:spacing w:line="360" w:lineRule="exact"/>
        <w:ind w:firstLine="470" w:firstLineChars="196"/>
        <w:rPr>
          <w:rFonts w:ascii="宋体" w:hAnsi="宋体" w:cs="宋体"/>
          <w:color w:val="000000"/>
          <w:sz w:val="24"/>
        </w:rPr>
      </w:pPr>
      <w:r>
        <w:rPr>
          <w:rFonts w:hint="eastAsia" w:ascii="宋体" w:hAnsi="宋体" w:cs="宋体"/>
          <w:color w:val="000000"/>
          <w:sz w:val="24"/>
        </w:rPr>
        <w:t>（1）投标人的报价是投标人响应招标项目要求的全部工作内容的价格体现，包括投标人完成本项目所需的一切费用。</w:t>
      </w:r>
    </w:p>
    <w:p>
      <w:pPr>
        <w:spacing w:line="360" w:lineRule="exact"/>
        <w:ind w:firstLine="470" w:firstLineChars="196"/>
        <w:rPr>
          <w:rFonts w:ascii="宋体" w:hAnsi="宋体" w:cs="宋体"/>
          <w:color w:val="000000"/>
          <w:sz w:val="24"/>
        </w:rPr>
      </w:pPr>
      <w:r>
        <w:rPr>
          <w:rFonts w:hint="eastAsia" w:ascii="宋体" w:hAnsi="宋体" w:cs="宋体"/>
          <w:color w:val="000000"/>
          <w:sz w:val="24"/>
        </w:rPr>
        <w:t>（2）投标人只允许有一个报价，并且在合同履行过程中是固定不变的，任何有选择或可调整的报价将不予接受，并按无效投标处理。</w:t>
      </w:r>
    </w:p>
    <w:p>
      <w:pPr>
        <w:spacing w:line="360" w:lineRule="exact"/>
        <w:ind w:firstLine="470" w:firstLineChars="196"/>
        <w:rPr>
          <w:rFonts w:ascii="宋体" w:hAnsi="宋体" w:cs="宋体"/>
          <w:color w:val="000000"/>
          <w:sz w:val="24"/>
        </w:rPr>
      </w:pPr>
      <w:r>
        <w:rPr>
          <w:rFonts w:hint="eastAsia" w:ascii="宋体" w:hAnsi="宋体" w:cs="宋体"/>
          <w:color w:val="000000"/>
          <w:sz w:val="24"/>
        </w:rPr>
        <w:t xml:space="preserve">13.2 </w:t>
      </w:r>
      <w:r>
        <w:rPr>
          <w:rFonts w:hint="eastAsia" w:ascii="宋体" w:hAnsi="宋体" w:cs="宋体"/>
          <w:b/>
          <w:bCs/>
          <w:color w:val="000000"/>
          <w:sz w:val="24"/>
        </w:rPr>
        <w:t>服务部分</w:t>
      </w:r>
      <w:r>
        <w:rPr>
          <w:rFonts w:hint="eastAsia" w:ascii="宋体" w:hAnsi="宋体" w:cs="宋体"/>
          <w:color w:val="000000"/>
          <w:sz w:val="24"/>
        </w:rPr>
        <w:t>。投标供应商按照招标文件要求做出的技术应答，主要是针对招标项目的技术指标、参数和技术要求做出的实质性响应和满足。投标供应商的技术应答包括下列内容（如涉及）：</w:t>
      </w:r>
    </w:p>
    <w:p>
      <w:pPr>
        <w:spacing w:line="360" w:lineRule="exact"/>
        <w:ind w:firstLine="470" w:firstLineChars="196"/>
        <w:rPr>
          <w:rFonts w:ascii="宋体" w:hAnsi="宋体" w:cs="宋体"/>
          <w:color w:val="000000"/>
          <w:sz w:val="24"/>
        </w:rPr>
      </w:pPr>
      <w:r>
        <w:rPr>
          <w:rFonts w:hint="eastAsia" w:ascii="宋体" w:hAnsi="宋体" w:cs="宋体"/>
          <w:color w:val="000000"/>
          <w:sz w:val="24"/>
        </w:rPr>
        <w:t>（1）服务方案、项目实施方案；</w:t>
      </w:r>
    </w:p>
    <w:p>
      <w:pPr>
        <w:spacing w:line="360" w:lineRule="exact"/>
        <w:ind w:firstLine="470" w:firstLineChars="196"/>
        <w:rPr>
          <w:rFonts w:ascii="宋体" w:hAnsi="宋体" w:cs="宋体"/>
          <w:color w:val="000000"/>
          <w:sz w:val="24"/>
        </w:rPr>
      </w:pPr>
      <w:r>
        <w:rPr>
          <w:rFonts w:hint="eastAsia" w:ascii="宋体" w:hAnsi="宋体" w:cs="宋体"/>
          <w:color w:val="000000"/>
          <w:sz w:val="24"/>
        </w:rPr>
        <w:t>（2）验收标准和验收方法；</w:t>
      </w:r>
    </w:p>
    <w:p>
      <w:pPr>
        <w:spacing w:line="360" w:lineRule="exact"/>
        <w:ind w:firstLine="470" w:firstLineChars="196"/>
        <w:rPr>
          <w:rFonts w:ascii="宋体" w:hAnsi="宋体" w:cs="宋体"/>
          <w:color w:val="000000"/>
          <w:sz w:val="24"/>
        </w:rPr>
      </w:pPr>
      <w:r>
        <w:rPr>
          <w:rFonts w:hint="eastAsia" w:ascii="宋体" w:hAnsi="宋体" w:cs="宋体"/>
          <w:color w:val="000000"/>
          <w:sz w:val="24"/>
        </w:rPr>
        <w:t>（3）服务应答表；</w:t>
      </w:r>
    </w:p>
    <w:p>
      <w:pPr>
        <w:spacing w:line="360" w:lineRule="exact"/>
        <w:ind w:firstLine="470" w:firstLineChars="196"/>
        <w:rPr>
          <w:rFonts w:ascii="宋体" w:hAnsi="宋体" w:cs="宋体"/>
          <w:color w:val="000000"/>
          <w:sz w:val="24"/>
        </w:rPr>
      </w:pPr>
      <w:r>
        <w:rPr>
          <w:rFonts w:hint="eastAsia" w:ascii="宋体" w:hAnsi="宋体" w:cs="宋体"/>
          <w:color w:val="000000"/>
          <w:sz w:val="24"/>
        </w:rPr>
        <w:t>（4）投标供应商认为需要提供的文件和资料。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 xml:space="preserve">13.3 </w:t>
      </w:r>
      <w:r>
        <w:rPr>
          <w:rFonts w:hint="eastAsia" w:ascii="宋体" w:hAnsi="宋体" w:cs="宋体"/>
          <w:b/>
          <w:bCs/>
          <w:color w:val="000000"/>
          <w:sz w:val="24"/>
        </w:rPr>
        <w:t>商务部分</w:t>
      </w:r>
      <w:r>
        <w:rPr>
          <w:rFonts w:hint="eastAsia" w:ascii="宋体" w:hAnsi="宋体" w:cs="宋体"/>
          <w:color w:val="000000"/>
          <w:sz w:val="24"/>
        </w:rPr>
        <w:t>。投标人按照招标文件要求提供的有关证明材料及优惠承诺。包括以下内容：</w:t>
      </w:r>
    </w:p>
    <w:p>
      <w:pPr>
        <w:spacing w:line="360" w:lineRule="exact"/>
        <w:ind w:firstLine="470" w:firstLineChars="196"/>
        <w:rPr>
          <w:rFonts w:ascii="宋体" w:hAnsi="宋体" w:cs="宋体"/>
          <w:color w:val="000000"/>
          <w:sz w:val="24"/>
        </w:rPr>
      </w:pPr>
      <w:r>
        <w:rPr>
          <w:rFonts w:hint="eastAsia" w:ascii="宋体" w:hAnsi="宋体" w:cs="宋体"/>
          <w:color w:val="000000"/>
          <w:sz w:val="24"/>
        </w:rPr>
        <w:t>（1）投标函；</w:t>
      </w:r>
    </w:p>
    <w:p>
      <w:pPr>
        <w:spacing w:line="360" w:lineRule="exact"/>
        <w:ind w:firstLine="470" w:firstLineChars="196"/>
        <w:rPr>
          <w:rFonts w:ascii="宋体" w:hAnsi="宋体" w:cs="宋体"/>
          <w:color w:val="000000"/>
          <w:sz w:val="24"/>
        </w:rPr>
      </w:pPr>
      <w:r>
        <w:rPr>
          <w:rFonts w:hint="eastAsia" w:ascii="宋体" w:hAnsi="宋体" w:cs="宋体"/>
          <w:color w:val="000000"/>
          <w:sz w:val="24"/>
        </w:rPr>
        <w:t>（2）投标人有效的企业法人营业执照副本、税务登记证副本（如已经办理三证合一可以不提供）复印件；</w:t>
      </w:r>
    </w:p>
    <w:p>
      <w:pPr>
        <w:spacing w:line="360" w:lineRule="exact"/>
        <w:ind w:firstLine="470" w:firstLineChars="196"/>
        <w:rPr>
          <w:rFonts w:ascii="宋体" w:hAnsi="宋体" w:cs="宋体"/>
          <w:color w:val="000000"/>
          <w:sz w:val="24"/>
        </w:rPr>
      </w:pPr>
      <w:r>
        <w:rPr>
          <w:rFonts w:hint="eastAsia" w:ascii="宋体" w:hAnsi="宋体" w:cs="宋体"/>
          <w:color w:val="000000"/>
          <w:sz w:val="24"/>
        </w:rPr>
        <w:t>（3）投标人有效的组织机构代码证（如已经办理三证合一可以不提供）复印件；</w:t>
      </w:r>
    </w:p>
    <w:p>
      <w:pPr>
        <w:spacing w:line="360" w:lineRule="exact"/>
        <w:ind w:firstLine="470" w:firstLineChars="196"/>
        <w:rPr>
          <w:rFonts w:ascii="宋体" w:hAnsi="宋体" w:cs="宋体"/>
          <w:color w:val="000000"/>
          <w:sz w:val="24"/>
        </w:rPr>
      </w:pPr>
      <w:r>
        <w:rPr>
          <w:rFonts w:hint="eastAsia" w:ascii="宋体" w:hAnsi="宋体" w:cs="宋体"/>
          <w:color w:val="000000"/>
          <w:sz w:val="24"/>
        </w:rPr>
        <w:t>（4）法定代表人身份证明书及法定代表人授权书原件；</w:t>
      </w:r>
    </w:p>
    <w:p>
      <w:pPr>
        <w:spacing w:line="360" w:lineRule="exact"/>
        <w:ind w:firstLine="470" w:firstLineChars="196"/>
        <w:rPr>
          <w:rFonts w:ascii="宋体" w:hAnsi="宋体" w:cs="宋体"/>
          <w:color w:val="000000"/>
          <w:sz w:val="24"/>
        </w:rPr>
      </w:pPr>
      <w:r>
        <w:rPr>
          <w:rFonts w:hint="eastAsia" w:ascii="宋体" w:hAnsi="宋体" w:cs="宋体"/>
          <w:color w:val="000000"/>
          <w:sz w:val="24"/>
        </w:rPr>
        <w:t>（5）法定代表人和法定授权代表身份证复印件；</w:t>
      </w:r>
    </w:p>
    <w:p>
      <w:pPr>
        <w:spacing w:line="360" w:lineRule="exact"/>
        <w:ind w:firstLine="480" w:firstLineChars="200"/>
        <w:rPr>
          <w:rFonts w:ascii="宋体" w:hAnsi="宋体" w:cs="宋体"/>
          <w:color w:val="000000"/>
          <w:sz w:val="24"/>
        </w:rPr>
      </w:pPr>
      <w:r>
        <w:rPr>
          <w:rFonts w:hint="eastAsia" w:ascii="宋体" w:hAnsi="宋体" w:cs="宋体"/>
          <w:color w:val="000000"/>
          <w:sz w:val="24"/>
        </w:rPr>
        <w:t>（6）投标承诺书；</w:t>
      </w:r>
    </w:p>
    <w:p>
      <w:pPr>
        <w:spacing w:line="360" w:lineRule="exact"/>
        <w:ind w:firstLine="470" w:firstLineChars="196"/>
        <w:rPr>
          <w:rFonts w:ascii="宋体" w:hAnsi="宋体" w:cs="宋体"/>
          <w:color w:val="000000"/>
          <w:sz w:val="24"/>
        </w:rPr>
      </w:pPr>
      <w:r>
        <w:rPr>
          <w:rFonts w:hint="eastAsia" w:ascii="宋体" w:hAnsi="宋体" w:cs="宋体"/>
          <w:color w:val="000000"/>
          <w:sz w:val="24"/>
        </w:rPr>
        <w:t>（7）投标保证金交纳凭证</w:t>
      </w:r>
      <w:r>
        <w:rPr>
          <w:rFonts w:hint="eastAsia" w:ascii="宋体" w:hAnsi="宋体" w:cs="宋体"/>
          <w:color w:val="000000"/>
          <w:sz w:val="24"/>
          <w:lang w:eastAsia="zh-CN"/>
        </w:rPr>
        <w:t>（</w:t>
      </w:r>
      <w:r>
        <w:rPr>
          <w:rFonts w:hint="eastAsia" w:ascii="宋体" w:hAnsi="宋体" w:cs="宋体"/>
          <w:color w:val="000000"/>
          <w:sz w:val="24"/>
          <w:lang w:val="en-US" w:eastAsia="zh-CN"/>
        </w:rPr>
        <w:t>本次招标不收取投标保证金）</w:t>
      </w:r>
      <w:r>
        <w:rPr>
          <w:rFonts w:hint="eastAsia" w:ascii="宋体" w:hAnsi="宋体" w:cs="宋体"/>
          <w:color w:val="000000"/>
          <w:sz w:val="24"/>
        </w:rPr>
        <w:t>；</w:t>
      </w:r>
    </w:p>
    <w:p>
      <w:pPr>
        <w:spacing w:line="360" w:lineRule="exact"/>
        <w:ind w:firstLine="470" w:firstLineChars="196"/>
        <w:rPr>
          <w:rFonts w:ascii="宋体" w:hAnsi="宋体" w:cs="宋体"/>
          <w:color w:val="000000"/>
          <w:sz w:val="24"/>
        </w:rPr>
      </w:pPr>
      <w:r>
        <w:rPr>
          <w:rFonts w:hint="eastAsia" w:ascii="宋体" w:hAnsi="宋体" w:cs="宋体"/>
          <w:color w:val="000000"/>
          <w:sz w:val="24"/>
        </w:rPr>
        <w:t>（8）证明投标人业绩和荣誉的有关材料；</w:t>
      </w:r>
    </w:p>
    <w:p>
      <w:pPr>
        <w:spacing w:line="360" w:lineRule="exact"/>
        <w:ind w:firstLine="480" w:firstLineChars="200"/>
        <w:rPr>
          <w:rFonts w:ascii="宋体" w:hAnsi="宋体" w:cs="宋体"/>
          <w:color w:val="000000"/>
          <w:sz w:val="24"/>
        </w:rPr>
      </w:pPr>
      <w:r>
        <w:rPr>
          <w:rFonts w:hint="eastAsia" w:ascii="宋体" w:hAnsi="宋体" w:cs="宋体"/>
          <w:color w:val="000000"/>
          <w:sz w:val="24"/>
        </w:rPr>
        <w:t>（9）投标人和投标产品符合招标文件规定的资格、资质性及其他具有类似效力要求的相关证明材料；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（10）商务应答表；</w:t>
      </w:r>
    </w:p>
    <w:p>
      <w:pPr>
        <w:spacing w:line="360" w:lineRule="exact"/>
        <w:ind w:firstLine="480" w:firstLineChars="200"/>
      </w:pPr>
      <w:r>
        <w:rPr>
          <w:rFonts w:hint="eastAsia" w:ascii="宋体" w:hAnsi="宋体" w:cs="宋体"/>
          <w:color w:val="000000"/>
          <w:sz w:val="24"/>
        </w:rPr>
        <w:t>（11）售后服务相关材料；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（12）其他投标人认为需要提供的文件和资料；</w:t>
      </w:r>
    </w:p>
    <w:p>
      <w:pPr>
        <w:spacing w:line="360" w:lineRule="exact"/>
        <w:ind w:firstLine="470" w:firstLineChars="196"/>
        <w:rPr>
          <w:rFonts w:ascii="宋体" w:hAnsi="宋体" w:cs="宋体"/>
          <w:color w:val="000000"/>
          <w:sz w:val="24"/>
        </w:rPr>
      </w:pPr>
      <w:r>
        <w:rPr>
          <w:rFonts w:hint="eastAsia" w:ascii="宋体" w:hAnsi="宋体" w:cs="宋体"/>
          <w:color w:val="000000"/>
          <w:sz w:val="24"/>
        </w:rPr>
        <w:t>（13）以上复印件均须加盖单位鲜章。</w:t>
      </w:r>
    </w:p>
    <w:p>
      <w:pPr>
        <w:spacing w:line="360" w:lineRule="exact"/>
        <w:ind w:firstLine="470" w:firstLineChars="196"/>
        <w:rPr>
          <w:rFonts w:ascii="宋体" w:hAnsi="宋体" w:cs="宋体"/>
          <w:color w:val="000000"/>
          <w:sz w:val="24"/>
        </w:rPr>
      </w:pPr>
      <w:r>
        <w:rPr>
          <w:rFonts w:hint="eastAsia" w:ascii="宋体" w:hAnsi="宋体" w:cs="宋体"/>
          <w:color w:val="000000"/>
          <w:sz w:val="24"/>
        </w:rPr>
        <w:t>（14）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pPr>
        <w:spacing w:line="360" w:lineRule="exact"/>
        <w:ind w:left="2" w:leftChars="1" w:firstLine="480" w:firstLineChars="200"/>
        <w:rPr>
          <w:rFonts w:ascii="宋体" w:hAnsi="宋体" w:cs="宋体"/>
          <w:bCs/>
          <w:color w:val="000000"/>
          <w:sz w:val="24"/>
        </w:rPr>
      </w:pPr>
      <w:r>
        <w:rPr>
          <w:rFonts w:hint="eastAsia" w:ascii="宋体" w:hAnsi="宋体" w:cs="宋体"/>
          <w:bCs/>
          <w:color w:val="000000"/>
          <w:sz w:val="24"/>
        </w:rPr>
        <w:t>13.4</w:t>
      </w:r>
      <w:r>
        <w:rPr>
          <w:rFonts w:hint="eastAsia" w:ascii="宋体" w:hAnsi="宋体" w:cs="宋体"/>
          <w:b/>
          <w:color w:val="000000"/>
          <w:sz w:val="24"/>
        </w:rPr>
        <w:t>其他部分</w:t>
      </w:r>
      <w:r>
        <w:rPr>
          <w:rFonts w:hint="eastAsia" w:ascii="宋体" w:hAnsi="宋体" w:cs="宋体"/>
          <w:bCs/>
          <w:color w:val="000000"/>
          <w:sz w:val="24"/>
        </w:rPr>
        <w:t>。投标人按照招标文件要求作出的其他应答和承诺。</w:t>
      </w:r>
    </w:p>
    <w:p>
      <w:pPr>
        <w:pStyle w:val="6"/>
        <w:tabs>
          <w:tab w:val="left" w:pos="3480"/>
        </w:tabs>
        <w:spacing w:line="360" w:lineRule="exact"/>
        <w:ind w:firstLine="482" w:firstLineChars="200"/>
        <w:rPr>
          <w:rFonts w:ascii="宋体" w:hAnsi="宋体" w:cs="宋体"/>
          <w:color w:val="000000"/>
          <w:sz w:val="24"/>
          <w:szCs w:val="24"/>
        </w:rPr>
      </w:pPr>
      <w:bookmarkStart w:id="72" w:name="_Toc454373548"/>
      <w:bookmarkStart w:id="73" w:name="_Toc365468145"/>
      <w:bookmarkStart w:id="74" w:name="_Toc29790"/>
      <w:bookmarkStart w:id="75" w:name="_Toc24035"/>
      <w:r>
        <w:rPr>
          <w:rFonts w:hint="eastAsia" w:ascii="宋体" w:hAnsi="宋体" w:cs="宋体"/>
          <w:color w:val="000000"/>
          <w:sz w:val="24"/>
          <w:szCs w:val="24"/>
        </w:rPr>
        <w:t>14．投标文件格式</w:t>
      </w:r>
      <w:bookmarkEnd w:id="72"/>
      <w:bookmarkEnd w:id="73"/>
      <w:bookmarkEnd w:id="74"/>
      <w:bookmarkEnd w:id="75"/>
      <w:r>
        <w:rPr>
          <w:rFonts w:hint="eastAsia" w:ascii="宋体" w:hAnsi="宋体" w:cs="宋体"/>
          <w:color w:val="000000"/>
          <w:sz w:val="24"/>
          <w:szCs w:val="24"/>
        </w:rPr>
        <w:tab/>
      </w:r>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14.2 对于没有格式要求的投标文件由投标人自行编写。</w:t>
      </w:r>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14.3如果投标文件填报的内容资料不详，或没有提供招标文件中所要求的全部资料及数据，将会导致投标被拒绝。</w:t>
      </w:r>
    </w:p>
    <w:p>
      <w:pPr>
        <w:pStyle w:val="6"/>
        <w:spacing w:line="360" w:lineRule="exact"/>
        <w:ind w:firstLine="482" w:firstLineChars="200"/>
        <w:rPr>
          <w:rFonts w:ascii="宋体" w:hAnsi="宋体" w:cs="宋体"/>
          <w:bCs w:val="0"/>
          <w:color w:val="000000"/>
          <w:sz w:val="24"/>
          <w:szCs w:val="24"/>
        </w:rPr>
      </w:pPr>
      <w:bookmarkStart w:id="76" w:name="_Toc3877"/>
      <w:bookmarkStart w:id="77" w:name="_Toc454373549"/>
      <w:bookmarkStart w:id="78" w:name="_Toc365468146"/>
      <w:bookmarkStart w:id="79" w:name="_Toc18806"/>
      <w:r>
        <w:rPr>
          <w:rFonts w:hint="eastAsia" w:ascii="宋体" w:hAnsi="宋体" w:cs="宋体"/>
          <w:bCs w:val="0"/>
          <w:color w:val="000000"/>
          <w:sz w:val="24"/>
          <w:szCs w:val="24"/>
        </w:rPr>
        <w:t>15．投标保证金</w:t>
      </w:r>
      <w:bookmarkEnd w:id="76"/>
      <w:bookmarkEnd w:id="77"/>
      <w:bookmarkEnd w:id="78"/>
      <w:bookmarkEnd w:id="79"/>
    </w:p>
    <w:p>
      <w:pPr>
        <w:pStyle w:val="6"/>
        <w:spacing w:line="360" w:lineRule="exact"/>
        <w:ind w:firstLine="482" w:firstLineChars="200"/>
        <w:rPr>
          <w:rFonts w:hint="eastAsia" w:ascii="宋体" w:hAnsi="宋体" w:cs="宋体"/>
          <w:color w:val="000000"/>
          <w:sz w:val="24"/>
          <w:lang w:val="en-US" w:eastAsia="zh-CN"/>
        </w:rPr>
      </w:pPr>
      <w:bookmarkStart w:id="80" w:name="_Toc365468147"/>
      <w:bookmarkStart w:id="81" w:name="_Toc986"/>
      <w:bookmarkStart w:id="82" w:name="_Toc8041"/>
      <w:bookmarkStart w:id="83" w:name="_Toc454373550"/>
      <w:r>
        <w:rPr>
          <w:rFonts w:hint="eastAsia" w:ascii="宋体" w:hAnsi="宋体" w:cs="宋体"/>
          <w:color w:val="000000"/>
          <w:sz w:val="24"/>
          <w:lang w:val="en-US" w:eastAsia="zh-CN"/>
        </w:rPr>
        <w:t>不收取</w:t>
      </w:r>
    </w:p>
    <w:p>
      <w:pPr>
        <w:pStyle w:val="6"/>
        <w:spacing w:line="360" w:lineRule="exact"/>
        <w:ind w:firstLine="482" w:firstLineChars="200"/>
        <w:rPr>
          <w:rFonts w:ascii="宋体" w:hAnsi="宋体" w:cs="宋体"/>
          <w:bCs w:val="0"/>
          <w:color w:val="000000"/>
          <w:sz w:val="24"/>
          <w:szCs w:val="24"/>
        </w:rPr>
      </w:pPr>
      <w:r>
        <w:rPr>
          <w:rFonts w:hint="eastAsia" w:ascii="宋体" w:hAnsi="宋体" w:cs="宋体"/>
          <w:bCs w:val="0"/>
          <w:color w:val="000000"/>
          <w:sz w:val="24"/>
          <w:szCs w:val="24"/>
        </w:rPr>
        <w:t>16.履约保证金</w:t>
      </w:r>
    </w:p>
    <w:bookmarkEnd w:id="80"/>
    <w:bookmarkEnd w:id="81"/>
    <w:bookmarkEnd w:id="82"/>
    <w:bookmarkEnd w:id="83"/>
    <w:p>
      <w:pPr>
        <w:pStyle w:val="6"/>
        <w:spacing w:line="360" w:lineRule="exact"/>
        <w:ind w:firstLine="480" w:firstLineChars="200"/>
        <w:rPr>
          <w:rFonts w:ascii="宋体" w:hAnsi="宋体" w:cs="宋体"/>
          <w:b w:val="0"/>
          <w:bCs w:val="0"/>
          <w:color w:val="000000"/>
          <w:sz w:val="24"/>
          <w:szCs w:val="28"/>
        </w:rPr>
      </w:pPr>
      <w:bookmarkStart w:id="84" w:name="_Toc23874"/>
      <w:bookmarkStart w:id="85" w:name="_Toc365468148"/>
      <w:bookmarkStart w:id="86" w:name="_Toc454373551"/>
      <w:bookmarkStart w:id="87" w:name="_Toc11463"/>
      <w:r>
        <w:rPr>
          <w:rFonts w:hint="eastAsia" w:ascii="宋体" w:hAnsi="宋体" w:cs="宋体"/>
          <w:b w:val="0"/>
          <w:bCs w:val="0"/>
          <w:color w:val="000000"/>
          <w:sz w:val="24"/>
          <w:szCs w:val="28"/>
          <w:lang w:val="en-US" w:eastAsia="zh-CN"/>
        </w:rPr>
        <w:t>不收取</w:t>
      </w:r>
      <w:r>
        <w:rPr>
          <w:rFonts w:hint="eastAsia" w:ascii="宋体" w:hAnsi="宋体" w:cs="宋体"/>
          <w:b w:val="0"/>
          <w:bCs w:val="0"/>
          <w:color w:val="000000"/>
          <w:sz w:val="24"/>
          <w:szCs w:val="28"/>
        </w:rPr>
        <w:t>。</w:t>
      </w:r>
    </w:p>
    <w:p>
      <w:pPr>
        <w:pStyle w:val="6"/>
        <w:spacing w:line="360" w:lineRule="exact"/>
        <w:ind w:firstLine="482" w:firstLineChars="200"/>
        <w:rPr>
          <w:rFonts w:ascii="宋体" w:hAnsi="宋体" w:cs="宋体"/>
          <w:bCs w:val="0"/>
          <w:color w:val="000000"/>
          <w:sz w:val="24"/>
          <w:szCs w:val="24"/>
        </w:rPr>
      </w:pPr>
      <w:r>
        <w:rPr>
          <w:rFonts w:hint="eastAsia" w:ascii="宋体" w:hAnsi="宋体" w:cs="宋体"/>
          <w:bCs w:val="0"/>
          <w:color w:val="000000"/>
          <w:sz w:val="24"/>
          <w:szCs w:val="24"/>
        </w:rPr>
        <w:t>17．投标有效期</w:t>
      </w:r>
      <w:bookmarkEnd w:id="84"/>
      <w:bookmarkEnd w:id="85"/>
      <w:bookmarkEnd w:id="86"/>
      <w:bookmarkEnd w:id="87"/>
    </w:p>
    <w:p>
      <w:pPr>
        <w:tabs>
          <w:tab w:val="left" w:pos="7665"/>
        </w:tabs>
        <w:spacing w:line="360" w:lineRule="exact"/>
        <w:ind w:left="13" w:leftChars="6" w:firstLine="480" w:firstLineChars="200"/>
        <w:rPr>
          <w:rFonts w:ascii="宋体" w:hAnsi="宋体" w:cs="宋体"/>
          <w:color w:val="000000"/>
          <w:sz w:val="24"/>
        </w:rPr>
      </w:pPr>
      <w:r>
        <w:rPr>
          <w:rFonts w:hint="eastAsia" w:ascii="宋体" w:hAnsi="宋体" w:cs="宋体"/>
          <w:color w:val="000000"/>
          <w:sz w:val="24"/>
        </w:rPr>
        <w:t>17.1 投标有效期为开标</w:t>
      </w:r>
      <w:r>
        <w:rPr>
          <w:rFonts w:hint="eastAsia" w:ascii="宋体" w:hAnsi="宋体" w:cs="宋体"/>
          <w:sz w:val="24"/>
        </w:rPr>
        <w:t>后30日历天。投标有效期短于此规定期限的投标，将被拒绝。</w:t>
      </w:r>
    </w:p>
    <w:p>
      <w:pPr>
        <w:tabs>
          <w:tab w:val="left" w:pos="7665"/>
        </w:tabs>
        <w:spacing w:line="360" w:lineRule="exact"/>
        <w:ind w:firstLine="480" w:firstLineChars="200"/>
        <w:rPr>
          <w:rFonts w:ascii="宋体" w:hAnsi="宋体" w:cs="宋体"/>
          <w:color w:val="000000"/>
          <w:sz w:val="24"/>
        </w:rPr>
      </w:pPr>
      <w:r>
        <w:rPr>
          <w:rFonts w:hint="eastAsia" w:ascii="宋体" w:hAnsi="宋体" w:cs="宋体"/>
          <w:color w:val="000000"/>
          <w:sz w:val="24"/>
        </w:rPr>
        <w:t>17.2 特殊情况下，采购人可于投标有效期满之前要求投标人同意延长有效期，要求与答复均应为书面形式。投标人可以拒绝上述要求，其投标保证金</w:t>
      </w:r>
      <w:r>
        <w:rPr>
          <w:rFonts w:hint="eastAsia" w:ascii="宋体" w:hAnsi="宋体" w:cs="宋体"/>
          <w:color w:val="000000"/>
          <w:spacing w:val="8"/>
          <w:sz w:val="24"/>
        </w:rPr>
        <w:t>不被没收。</w:t>
      </w:r>
      <w:r>
        <w:rPr>
          <w:rFonts w:hint="eastAsia" w:ascii="宋体" w:hAnsi="宋体" w:cs="宋体"/>
          <w:color w:val="000000"/>
          <w:sz w:val="24"/>
        </w:rPr>
        <w:t>拒绝延长投标有效期的投标人不得再参与该项目后续采购活动。同意延长投标有效期的投标人不能修改其投标文件，关于投标保证金的有关规定在延长的投标有效期内继续有效。</w:t>
      </w:r>
    </w:p>
    <w:p>
      <w:pPr>
        <w:pStyle w:val="6"/>
        <w:spacing w:line="360" w:lineRule="exact"/>
        <w:ind w:firstLine="482" w:firstLineChars="200"/>
        <w:rPr>
          <w:rFonts w:ascii="宋体" w:hAnsi="宋体" w:cs="宋体"/>
          <w:bCs w:val="0"/>
          <w:color w:val="000000"/>
          <w:sz w:val="24"/>
          <w:szCs w:val="24"/>
        </w:rPr>
      </w:pPr>
      <w:bookmarkStart w:id="88" w:name="_Toc454373552"/>
      <w:bookmarkStart w:id="89" w:name="_Toc365468149"/>
      <w:bookmarkStart w:id="90" w:name="_Toc27230"/>
      <w:bookmarkStart w:id="91" w:name="_Toc30596"/>
      <w:r>
        <w:rPr>
          <w:rFonts w:hint="eastAsia" w:ascii="宋体" w:hAnsi="宋体" w:cs="宋体"/>
          <w:bCs w:val="0"/>
          <w:color w:val="000000"/>
          <w:sz w:val="24"/>
          <w:szCs w:val="24"/>
        </w:rPr>
        <w:t>18．投标文件的印制和签署</w:t>
      </w:r>
      <w:bookmarkEnd w:id="88"/>
      <w:bookmarkEnd w:id="89"/>
      <w:bookmarkEnd w:id="90"/>
      <w:bookmarkEnd w:id="91"/>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18.1 投标人应当准备投标文件</w:t>
      </w:r>
      <w:r>
        <w:rPr>
          <w:rFonts w:hint="eastAsia" w:ascii="宋体" w:hAnsi="宋体" w:cs="宋体"/>
          <w:b/>
          <w:color w:val="000000"/>
          <w:sz w:val="24"/>
        </w:rPr>
        <w:t>正本1份、副本</w:t>
      </w:r>
      <w:r>
        <w:rPr>
          <w:rFonts w:hint="eastAsia" w:ascii="宋体" w:hAnsi="宋体" w:cs="宋体"/>
          <w:b/>
          <w:color w:val="000000"/>
          <w:sz w:val="24"/>
          <w:lang w:val="en-US" w:eastAsia="zh-CN"/>
        </w:rPr>
        <w:t>1</w:t>
      </w:r>
      <w:r>
        <w:rPr>
          <w:rFonts w:hint="eastAsia" w:ascii="宋体" w:hAnsi="宋体" w:cs="宋体"/>
          <w:b/>
          <w:color w:val="000000"/>
          <w:sz w:val="24"/>
        </w:rPr>
        <w:t>份，</w:t>
      </w:r>
      <w:r>
        <w:rPr>
          <w:rFonts w:hint="eastAsia" w:ascii="宋体" w:hAnsi="宋体" w:cs="宋体"/>
          <w:color w:val="000000"/>
          <w:sz w:val="24"/>
        </w:rPr>
        <w:t>以及用于开标唱标单独提交的</w:t>
      </w:r>
      <w:r>
        <w:rPr>
          <w:rFonts w:hint="eastAsia" w:ascii="宋体" w:hAnsi="宋体" w:cs="宋体"/>
          <w:b/>
          <w:color w:val="000000"/>
          <w:sz w:val="24"/>
        </w:rPr>
        <w:t>“开标一览表”（壹份）</w:t>
      </w:r>
      <w:r>
        <w:rPr>
          <w:rFonts w:hint="eastAsia" w:ascii="宋体" w:hAnsi="宋体" w:cs="宋体"/>
          <w:color w:val="000000"/>
          <w:sz w:val="24"/>
        </w:rPr>
        <w:t>。投标文件的正本和副本应在其封面右上角清楚地标明“正本”或“副本”字样。若正本和副本有不一致的内容，以正本书面投标文件为准。</w:t>
      </w:r>
    </w:p>
    <w:p>
      <w:pPr>
        <w:tabs>
          <w:tab w:val="left" w:pos="1095"/>
        </w:tabs>
        <w:spacing w:line="360" w:lineRule="exact"/>
        <w:ind w:firstLine="460" w:firstLineChars="192"/>
        <w:rPr>
          <w:rFonts w:ascii="宋体" w:hAnsi="宋体" w:cs="宋体"/>
          <w:color w:val="000000"/>
          <w:sz w:val="24"/>
        </w:rPr>
      </w:pPr>
      <w:r>
        <w:rPr>
          <w:rFonts w:hint="eastAsia" w:ascii="宋体" w:hAnsi="宋体" w:cs="宋体"/>
          <w:color w:val="000000"/>
          <w:sz w:val="24"/>
        </w:rPr>
        <w:t>18.2 投标文件的正本和副本均需打印或用不褪色、不变质的墨水书写，并由投标人的法定代表人或其授权代表在规定签章处签字和盖章。投标文件副本可采用正本的复印件。用于开标唱标单独提交的“开标一览表”应为原件。</w:t>
      </w:r>
    </w:p>
    <w:p>
      <w:pPr>
        <w:tabs>
          <w:tab w:val="left" w:pos="1095"/>
        </w:tabs>
        <w:spacing w:line="360" w:lineRule="exact"/>
        <w:ind w:firstLine="460" w:firstLineChars="192"/>
        <w:rPr>
          <w:rFonts w:ascii="宋体" w:hAnsi="宋体" w:cs="宋体"/>
          <w:color w:val="000000"/>
          <w:sz w:val="24"/>
        </w:rPr>
      </w:pPr>
      <w:r>
        <w:rPr>
          <w:rFonts w:hint="eastAsia" w:ascii="宋体" w:hAnsi="宋体" w:cs="宋体"/>
          <w:color w:val="000000"/>
          <w:sz w:val="24"/>
        </w:rPr>
        <w:t>18.3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18.4 投标文件正本和副本必须装订成册并编码。</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18.5 投标文件应根据招标文件的要求制作，签署、盖章和内容应完整，如有遗漏，将被视为无效投标。</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18.6 投标文件统一用A4幅面纸印制。</w:t>
      </w:r>
    </w:p>
    <w:p>
      <w:pPr>
        <w:pStyle w:val="6"/>
        <w:spacing w:line="360" w:lineRule="exact"/>
        <w:ind w:firstLine="482" w:firstLineChars="200"/>
        <w:rPr>
          <w:rFonts w:ascii="宋体" w:hAnsi="宋体" w:cs="宋体"/>
          <w:color w:val="000000"/>
          <w:sz w:val="24"/>
          <w:szCs w:val="24"/>
        </w:rPr>
      </w:pPr>
      <w:bookmarkStart w:id="92" w:name="_Toc13506"/>
      <w:bookmarkStart w:id="93" w:name="_Toc454373553"/>
      <w:bookmarkStart w:id="94" w:name="_Toc365468150"/>
      <w:bookmarkStart w:id="95" w:name="_Toc24566"/>
      <w:r>
        <w:rPr>
          <w:rFonts w:hint="eastAsia" w:ascii="宋体" w:hAnsi="宋体" w:cs="宋体"/>
          <w:bCs w:val="0"/>
          <w:color w:val="000000"/>
          <w:sz w:val="24"/>
          <w:szCs w:val="24"/>
        </w:rPr>
        <w:t xml:space="preserve">19. </w:t>
      </w:r>
      <w:r>
        <w:rPr>
          <w:rFonts w:hint="eastAsia" w:ascii="宋体" w:hAnsi="宋体" w:cs="宋体"/>
          <w:color w:val="000000"/>
          <w:sz w:val="24"/>
          <w:szCs w:val="24"/>
        </w:rPr>
        <w:t>投标文件的密封和标注</w:t>
      </w:r>
      <w:bookmarkEnd w:id="92"/>
      <w:bookmarkEnd w:id="93"/>
      <w:bookmarkEnd w:id="94"/>
      <w:bookmarkEnd w:id="95"/>
    </w:p>
    <w:p>
      <w:pPr>
        <w:tabs>
          <w:tab w:val="left" w:pos="1080"/>
        </w:tabs>
        <w:spacing w:line="360" w:lineRule="exact"/>
        <w:rPr>
          <w:rFonts w:ascii="宋体" w:hAnsi="宋体" w:cs="宋体"/>
          <w:color w:val="000000"/>
          <w:sz w:val="24"/>
        </w:rPr>
      </w:pPr>
      <w:r>
        <w:rPr>
          <w:rFonts w:hint="eastAsia" w:ascii="宋体" w:hAnsi="宋体" w:cs="宋体"/>
          <w:b/>
          <w:color w:val="000000"/>
          <w:sz w:val="24"/>
        </w:rPr>
        <w:t xml:space="preserve">    </w:t>
      </w:r>
      <w:r>
        <w:rPr>
          <w:rFonts w:hint="eastAsia" w:ascii="宋体" w:hAnsi="宋体" w:cs="宋体"/>
          <w:color w:val="000000"/>
          <w:sz w:val="24"/>
        </w:rPr>
        <w:t>19.1 投标人应在投标文件正本和所有副本的封面上注明投标人名称、招标编号、项目名称及分包号（如有分包）。</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19.2 投标文件正本、所有副本和招标文件要求单独提交的开标一览表、电子文档，应分别封装于不同的密封袋内，密封袋上应分别标上“正本”、“副本”、“开标一览表”字样，并注明投标人名称、招标编号、项目名称及分包号（如有分包）。</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19.3 所有外层密封袋的封口处应粘贴牢固，并加盖密封章（投标人印章）。</w:t>
      </w:r>
    </w:p>
    <w:p>
      <w:pPr>
        <w:tabs>
          <w:tab w:val="left" w:pos="1080"/>
        </w:tabs>
        <w:spacing w:line="360" w:lineRule="exact"/>
        <w:ind w:firstLine="460" w:firstLineChars="192"/>
        <w:rPr>
          <w:rFonts w:ascii="宋体" w:hAnsi="宋体" w:cs="宋体"/>
          <w:color w:val="000000"/>
          <w:sz w:val="24"/>
        </w:rPr>
      </w:pPr>
      <w:r>
        <w:rPr>
          <w:rFonts w:hint="eastAsia" w:ascii="宋体" w:hAnsi="宋体" w:cs="宋体"/>
          <w:color w:val="000000"/>
          <w:sz w:val="24"/>
        </w:rPr>
        <w:t>19.4未按以上要求进行密封和标注的投标文件将被拒绝。</w:t>
      </w:r>
    </w:p>
    <w:p>
      <w:pPr>
        <w:pStyle w:val="6"/>
        <w:spacing w:line="360" w:lineRule="exact"/>
        <w:ind w:firstLine="482" w:firstLineChars="200"/>
        <w:rPr>
          <w:rFonts w:ascii="宋体" w:hAnsi="宋体" w:cs="宋体"/>
          <w:bCs w:val="0"/>
          <w:color w:val="000000"/>
          <w:sz w:val="24"/>
          <w:szCs w:val="24"/>
        </w:rPr>
      </w:pPr>
      <w:bookmarkStart w:id="96" w:name="_Toc365468151"/>
      <w:bookmarkStart w:id="97" w:name="_Toc5575"/>
      <w:bookmarkStart w:id="98" w:name="_Toc6824"/>
      <w:bookmarkStart w:id="99" w:name="_Toc454373554"/>
      <w:r>
        <w:rPr>
          <w:rFonts w:hint="eastAsia" w:ascii="宋体" w:hAnsi="宋体" w:cs="宋体"/>
          <w:bCs w:val="0"/>
          <w:color w:val="000000"/>
          <w:sz w:val="24"/>
          <w:szCs w:val="24"/>
        </w:rPr>
        <w:t>20．投标文件的递交</w:t>
      </w:r>
      <w:bookmarkEnd w:id="96"/>
      <w:bookmarkEnd w:id="97"/>
      <w:bookmarkEnd w:id="98"/>
      <w:bookmarkEnd w:id="99"/>
    </w:p>
    <w:p>
      <w:pPr>
        <w:tabs>
          <w:tab w:val="left" w:pos="1095"/>
        </w:tabs>
        <w:spacing w:line="360" w:lineRule="exact"/>
        <w:ind w:firstLine="460" w:firstLineChars="192"/>
        <w:rPr>
          <w:rFonts w:ascii="宋体" w:hAnsi="宋体" w:cs="宋体"/>
          <w:color w:val="000000"/>
          <w:sz w:val="24"/>
        </w:rPr>
      </w:pPr>
      <w:r>
        <w:rPr>
          <w:rFonts w:hint="eastAsia" w:ascii="宋体" w:hAnsi="宋体" w:cs="宋体"/>
          <w:color w:val="000000"/>
          <w:sz w:val="24"/>
        </w:rPr>
        <w:t>20.1 投标人应在招标文件规定的投标截止时间前，将投标文件按投标须知及其前附表第16条规定密封后送达开标地点。投标截止时间以后送达的投标文件将被拒绝。</w:t>
      </w:r>
    </w:p>
    <w:p>
      <w:pPr>
        <w:tabs>
          <w:tab w:val="left" w:pos="1095"/>
        </w:tabs>
        <w:spacing w:line="360" w:lineRule="exact"/>
        <w:ind w:firstLine="460" w:firstLineChars="192"/>
        <w:rPr>
          <w:rFonts w:ascii="宋体" w:hAnsi="宋体" w:cs="宋体"/>
          <w:color w:val="000000"/>
          <w:sz w:val="24"/>
          <w:szCs w:val="28"/>
        </w:rPr>
      </w:pPr>
      <w:r>
        <w:rPr>
          <w:rFonts w:hint="eastAsia" w:ascii="宋体" w:hAnsi="宋体" w:cs="宋体"/>
          <w:color w:val="000000"/>
          <w:sz w:val="24"/>
        </w:rPr>
        <w:t xml:space="preserve">20.2 </w:t>
      </w:r>
      <w:r>
        <w:rPr>
          <w:rFonts w:hint="eastAsia" w:ascii="宋体" w:hAnsi="宋体" w:cs="宋体"/>
          <w:color w:val="000000"/>
          <w:sz w:val="24"/>
          <w:szCs w:val="28"/>
        </w:rPr>
        <w:t>本次招标不接受邮寄的投标文件。</w:t>
      </w:r>
    </w:p>
    <w:p>
      <w:pPr>
        <w:pStyle w:val="6"/>
        <w:spacing w:line="360" w:lineRule="exact"/>
        <w:ind w:firstLine="482" w:firstLineChars="200"/>
        <w:rPr>
          <w:rFonts w:ascii="宋体" w:hAnsi="宋体" w:cs="宋体"/>
          <w:bCs w:val="0"/>
          <w:color w:val="000000"/>
          <w:sz w:val="24"/>
          <w:szCs w:val="24"/>
        </w:rPr>
      </w:pPr>
      <w:bookmarkStart w:id="100" w:name="_Toc2816"/>
      <w:bookmarkStart w:id="101" w:name="_Toc454373555"/>
      <w:bookmarkStart w:id="102" w:name="_Toc365468152"/>
      <w:bookmarkStart w:id="103" w:name="_Toc2935"/>
      <w:r>
        <w:rPr>
          <w:rFonts w:hint="eastAsia" w:ascii="宋体" w:hAnsi="宋体" w:cs="宋体"/>
          <w:bCs w:val="0"/>
          <w:color w:val="000000"/>
          <w:sz w:val="24"/>
          <w:szCs w:val="24"/>
        </w:rPr>
        <w:t>21．投标文件的修改和撤回</w:t>
      </w:r>
      <w:bookmarkEnd w:id="100"/>
      <w:bookmarkEnd w:id="101"/>
      <w:bookmarkEnd w:id="102"/>
      <w:bookmarkEnd w:id="103"/>
    </w:p>
    <w:p>
      <w:pPr>
        <w:spacing w:line="360" w:lineRule="exact"/>
        <w:ind w:firstLine="470" w:firstLineChars="196"/>
        <w:rPr>
          <w:rFonts w:ascii="宋体" w:hAnsi="宋体" w:cs="宋体"/>
          <w:color w:val="000000"/>
          <w:sz w:val="24"/>
        </w:rPr>
      </w:pPr>
      <w:r>
        <w:rPr>
          <w:rFonts w:hint="eastAsia" w:ascii="宋体" w:hAnsi="宋体" w:cs="宋体"/>
          <w:color w:val="000000"/>
          <w:sz w:val="24"/>
        </w:rPr>
        <w:t>21.1 投标人在递交了投标文件后，可以修改或撤回其投标文件，但必须在规定的投标截止时间前，以书面形式通知采购</w:t>
      </w:r>
      <w:r>
        <w:rPr>
          <w:rFonts w:hint="eastAsia" w:ascii="宋体" w:hAnsi="宋体" w:cs="宋体"/>
          <w:color w:val="000000"/>
          <w:sz w:val="24"/>
          <w:lang w:val="en-US" w:eastAsia="zh-CN"/>
        </w:rPr>
        <w:t>人</w:t>
      </w:r>
      <w:r>
        <w:rPr>
          <w:rFonts w:hint="eastAsia" w:ascii="宋体" w:hAnsi="宋体" w:cs="宋体"/>
          <w:color w:val="000000"/>
          <w:sz w:val="24"/>
        </w:rPr>
        <w:t>。</w:t>
      </w:r>
    </w:p>
    <w:p>
      <w:pPr>
        <w:spacing w:line="360" w:lineRule="exact"/>
        <w:ind w:firstLine="470" w:firstLineChars="196"/>
        <w:rPr>
          <w:rFonts w:ascii="宋体" w:hAnsi="宋体" w:cs="宋体"/>
          <w:color w:val="000000"/>
          <w:sz w:val="24"/>
        </w:rPr>
      </w:pPr>
      <w:r>
        <w:rPr>
          <w:rFonts w:hint="eastAsia" w:ascii="宋体" w:hAnsi="宋体" w:cs="宋体"/>
          <w:color w:val="000000"/>
          <w:sz w:val="24"/>
        </w:rPr>
        <w:t>21.2 投标人的修改书或撤回通知书，应由其法定代表人或授权代表签署并盖单位印章。修改书应按投标须知及其前附表第16条规定进行密封和标注，并在密封袋上标注“修改”字样。</w:t>
      </w:r>
    </w:p>
    <w:p>
      <w:pPr>
        <w:spacing w:line="360" w:lineRule="exact"/>
        <w:ind w:firstLine="480"/>
        <w:rPr>
          <w:rFonts w:ascii="宋体" w:hAnsi="宋体" w:cs="宋体"/>
          <w:color w:val="000000"/>
          <w:sz w:val="24"/>
        </w:rPr>
      </w:pPr>
      <w:r>
        <w:rPr>
          <w:rFonts w:hint="eastAsia" w:ascii="宋体" w:hAnsi="宋体" w:cs="宋体"/>
          <w:color w:val="000000"/>
          <w:sz w:val="24"/>
        </w:rPr>
        <w:t>21.3 在投标截止时间之后，投标人不得对其递交的投标文件做任何修改或撤回投标。</w:t>
      </w:r>
    </w:p>
    <w:p>
      <w:pPr>
        <w:spacing w:line="360" w:lineRule="exact"/>
        <w:ind w:firstLine="480"/>
        <w:rPr>
          <w:rFonts w:ascii="宋体" w:hAnsi="宋体" w:cs="宋体"/>
          <w:color w:val="000000"/>
          <w:sz w:val="24"/>
        </w:rPr>
      </w:pPr>
      <w:r>
        <w:rPr>
          <w:rFonts w:hint="eastAsia" w:ascii="宋体" w:hAnsi="宋体" w:cs="宋体"/>
          <w:color w:val="000000"/>
          <w:sz w:val="24"/>
        </w:rPr>
        <w:t>21.4 投标文件中如果出现计算上或累加上的算术错误，可按以下原则进行修改：</w:t>
      </w:r>
    </w:p>
    <w:p>
      <w:pPr>
        <w:spacing w:line="360" w:lineRule="exact"/>
        <w:ind w:firstLine="480"/>
        <w:rPr>
          <w:rFonts w:ascii="宋体" w:hAnsi="宋体" w:cs="宋体"/>
          <w:color w:val="000000"/>
          <w:sz w:val="24"/>
        </w:rPr>
      </w:pPr>
      <w:r>
        <w:rPr>
          <w:rFonts w:hint="eastAsia" w:ascii="宋体" w:hAnsi="宋体" w:cs="宋体"/>
          <w:color w:val="000000"/>
          <w:sz w:val="24"/>
        </w:rPr>
        <w:t>（1）用数字表示的金额和用文字表示的金额不一致，应以文字表示的金额为准。</w:t>
      </w:r>
    </w:p>
    <w:p>
      <w:pPr>
        <w:spacing w:line="360" w:lineRule="exact"/>
        <w:ind w:firstLine="480"/>
        <w:rPr>
          <w:rFonts w:ascii="宋体" w:hAnsi="宋体" w:cs="宋体"/>
          <w:color w:val="000000"/>
          <w:sz w:val="24"/>
        </w:rPr>
      </w:pPr>
      <w:r>
        <w:rPr>
          <w:rFonts w:hint="eastAsia" w:ascii="宋体" w:hAnsi="宋体" w:cs="宋体"/>
          <w:color w:val="000000"/>
          <w:sz w:val="24"/>
        </w:rPr>
        <w:t>（2）单价和数量的乘积与总价不一致时，以单价为准，并修正总价。</w:t>
      </w:r>
    </w:p>
    <w:p>
      <w:pPr>
        <w:spacing w:line="360" w:lineRule="exact"/>
        <w:ind w:firstLine="480"/>
        <w:rPr>
          <w:rFonts w:ascii="宋体" w:hAnsi="宋体" w:cs="宋体"/>
          <w:color w:val="000000"/>
          <w:sz w:val="24"/>
        </w:rPr>
      </w:pPr>
      <w:r>
        <w:rPr>
          <w:rFonts w:hint="eastAsia" w:ascii="宋体" w:hAnsi="宋体" w:cs="宋体"/>
          <w:color w:val="000000"/>
          <w:sz w:val="24"/>
        </w:rPr>
        <w:t>（3）单价金额小数点有明显错误的，以总价为准，修正单价。</w:t>
      </w:r>
    </w:p>
    <w:p>
      <w:pPr>
        <w:spacing w:line="360" w:lineRule="exact"/>
        <w:ind w:firstLine="480"/>
        <w:rPr>
          <w:rFonts w:ascii="宋体" w:hAnsi="宋体" w:cs="宋体"/>
          <w:color w:val="000000"/>
          <w:sz w:val="24"/>
        </w:rPr>
      </w:pPr>
      <w:r>
        <w:rPr>
          <w:rFonts w:hint="eastAsia" w:ascii="宋体" w:hAnsi="宋体" w:cs="宋体"/>
          <w:color w:val="000000"/>
          <w:sz w:val="24"/>
        </w:rPr>
        <w:t>按上述修正错误的方法调整的投标报价应对投标人具有约束力。如果投标人不接受修正后的价格，其投标将被拒绝。</w:t>
      </w:r>
      <w:bookmarkStart w:id="104" w:name="_Toc365468153"/>
      <w:bookmarkStart w:id="105" w:name="_Toc8970"/>
      <w:bookmarkStart w:id="106" w:name="_Toc454373556"/>
      <w:bookmarkStart w:id="107" w:name="_Toc5167"/>
    </w:p>
    <w:p>
      <w:pPr>
        <w:spacing w:line="360" w:lineRule="exact"/>
        <w:ind w:firstLine="480"/>
        <w:rPr>
          <w:rFonts w:ascii="宋体" w:hAnsi="宋体" w:cs="宋体"/>
          <w:color w:val="000000"/>
          <w:sz w:val="24"/>
        </w:rPr>
      </w:pPr>
    </w:p>
    <w:p>
      <w:pPr>
        <w:spacing w:line="360" w:lineRule="exact"/>
        <w:ind w:firstLine="480"/>
        <w:jc w:val="center"/>
        <w:rPr>
          <w:rFonts w:ascii="宋体" w:hAnsi="宋体" w:cs="宋体"/>
          <w:b/>
          <w:bCs/>
          <w:color w:val="000000"/>
          <w:sz w:val="24"/>
        </w:rPr>
      </w:pPr>
      <w:r>
        <w:rPr>
          <w:rFonts w:hint="eastAsia" w:ascii="宋体" w:hAnsi="宋体" w:cs="宋体"/>
          <w:b/>
          <w:bCs/>
          <w:color w:val="000000"/>
          <w:sz w:val="24"/>
        </w:rPr>
        <w:t>五、开标和中标</w:t>
      </w:r>
      <w:bookmarkEnd w:id="104"/>
      <w:bookmarkEnd w:id="105"/>
      <w:bookmarkEnd w:id="106"/>
      <w:bookmarkEnd w:id="107"/>
    </w:p>
    <w:p>
      <w:pPr>
        <w:pStyle w:val="6"/>
        <w:spacing w:line="360" w:lineRule="exact"/>
        <w:ind w:firstLine="482" w:firstLineChars="200"/>
        <w:rPr>
          <w:rFonts w:ascii="宋体" w:hAnsi="宋体" w:cs="宋体"/>
          <w:bCs w:val="0"/>
          <w:color w:val="000000"/>
          <w:sz w:val="24"/>
          <w:szCs w:val="24"/>
        </w:rPr>
      </w:pPr>
      <w:bookmarkStart w:id="108" w:name="_Toc454373557"/>
      <w:bookmarkStart w:id="109" w:name="_Toc29223"/>
      <w:bookmarkStart w:id="110" w:name="_Toc365468154"/>
      <w:bookmarkStart w:id="111" w:name="_Toc28443"/>
      <w:r>
        <w:rPr>
          <w:rFonts w:hint="eastAsia" w:ascii="宋体" w:hAnsi="宋体" w:cs="宋体"/>
          <w:bCs w:val="0"/>
          <w:color w:val="000000"/>
          <w:sz w:val="24"/>
          <w:szCs w:val="24"/>
        </w:rPr>
        <w:t>22．开标</w:t>
      </w:r>
      <w:bookmarkEnd w:id="108"/>
      <w:bookmarkEnd w:id="109"/>
      <w:bookmarkEnd w:id="110"/>
      <w:bookmarkEnd w:id="111"/>
      <w:r>
        <w:rPr>
          <w:rFonts w:hint="eastAsia" w:ascii="宋体" w:hAnsi="宋体" w:cs="宋体"/>
          <w:bCs w:val="0"/>
          <w:color w:val="000000"/>
          <w:sz w:val="24"/>
          <w:szCs w:val="24"/>
        </w:rPr>
        <w:t xml:space="preserve"> </w:t>
      </w:r>
    </w:p>
    <w:p>
      <w:pPr>
        <w:spacing w:before="120" w:line="360" w:lineRule="exact"/>
        <w:ind w:firstLine="480" w:firstLineChars="200"/>
        <w:rPr>
          <w:rFonts w:ascii="宋体" w:hAnsi="宋体" w:cs="宋体"/>
          <w:color w:val="000000"/>
          <w:sz w:val="24"/>
        </w:rPr>
      </w:pPr>
      <w:r>
        <w:rPr>
          <w:rFonts w:hint="eastAsia" w:ascii="宋体" w:hAnsi="宋体" w:cs="宋体"/>
          <w:color w:val="000000"/>
          <w:sz w:val="24"/>
        </w:rPr>
        <w:t>22.1 开标须知</w:t>
      </w:r>
    </w:p>
    <w:p>
      <w:pPr>
        <w:spacing w:line="360" w:lineRule="exact"/>
        <w:ind w:firstLine="480"/>
        <w:rPr>
          <w:rFonts w:ascii="宋体" w:hAnsi="宋体" w:cs="宋体"/>
          <w:color w:val="000000"/>
          <w:sz w:val="24"/>
        </w:rPr>
      </w:pPr>
      <w:r>
        <w:rPr>
          <w:rFonts w:hint="eastAsia" w:ascii="宋体" w:hAnsi="宋体" w:cs="宋体"/>
          <w:color w:val="000000"/>
          <w:sz w:val="24"/>
        </w:rPr>
        <w:t>（1）采购</w:t>
      </w:r>
      <w:r>
        <w:rPr>
          <w:rFonts w:hint="eastAsia" w:ascii="宋体" w:hAnsi="宋体" w:cs="宋体"/>
          <w:color w:val="000000"/>
          <w:sz w:val="24"/>
          <w:lang w:val="en-US" w:eastAsia="zh-CN"/>
        </w:rPr>
        <w:t>人</w:t>
      </w:r>
      <w:r>
        <w:rPr>
          <w:rFonts w:hint="eastAsia" w:ascii="宋体" w:hAnsi="宋体" w:cs="宋体"/>
          <w:color w:val="000000"/>
          <w:sz w:val="24"/>
        </w:rPr>
        <w:t>在招标文件规定的时间和地点组织公开开标，采购人、投标人须派代表参加并签到以证明其出席。</w:t>
      </w:r>
    </w:p>
    <w:p>
      <w:pPr>
        <w:spacing w:line="360" w:lineRule="exact"/>
        <w:ind w:firstLine="480"/>
        <w:rPr>
          <w:rFonts w:ascii="宋体" w:hAnsi="宋体" w:cs="宋体"/>
          <w:color w:val="000000"/>
          <w:sz w:val="24"/>
        </w:rPr>
      </w:pPr>
      <w:r>
        <w:rPr>
          <w:rFonts w:hint="eastAsia" w:ascii="宋体" w:hAnsi="宋体" w:cs="宋体"/>
          <w:color w:val="000000"/>
          <w:sz w:val="24"/>
        </w:rPr>
        <w:t>（2）开标时，采购</w:t>
      </w:r>
      <w:r>
        <w:rPr>
          <w:rFonts w:hint="eastAsia" w:ascii="宋体" w:hAnsi="宋体" w:cs="宋体"/>
          <w:color w:val="000000"/>
          <w:sz w:val="24"/>
          <w:lang w:val="en-US" w:eastAsia="zh-CN"/>
        </w:rPr>
        <w:t>人</w:t>
      </w:r>
      <w:r>
        <w:rPr>
          <w:rFonts w:hint="eastAsia" w:ascii="宋体" w:hAnsi="宋体" w:cs="宋体"/>
          <w:color w:val="000000"/>
          <w:sz w:val="24"/>
        </w:rPr>
        <w:t>可以邀请内部有关监督管理部门对开标进行现场监督；</w:t>
      </w:r>
    </w:p>
    <w:p>
      <w:pPr>
        <w:spacing w:line="360" w:lineRule="exact"/>
        <w:ind w:firstLine="480"/>
        <w:rPr>
          <w:rFonts w:ascii="宋体" w:hAnsi="宋体" w:cs="宋体"/>
          <w:color w:val="000000"/>
          <w:sz w:val="24"/>
        </w:rPr>
      </w:pPr>
      <w:r>
        <w:rPr>
          <w:rFonts w:hint="eastAsia" w:ascii="宋体" w:hAnsi="宋体" w:cs="宋体"/>
          <w:color w:val="000000"/>
          <w:sz w:val="24"/>
        </w:rPr>
        <w:t>（3）开标时，采购</w:t>
      </w:r>
      <w:r>
        <w:rPr>
          <w:rFonts w:hint="eastAsia" w:ascii="宋体" w:hAnsi="宋体" w:cs="宋体"/>
          <w:color w:val="000000"/>
          <w:sz w:val="24"/>
          <w:lang w:val="en-US" w:eastAsia="zh-CN"/>
        </w:rPr>
        <w:t>人</w:t>
      </w:r>
      <w:r>
        <w:rPr>
          <w:rFonts w:hint="eastAsia" w:ascii="宋体" w:hAnsi="宋体" w:cs="宋体"/>
          <w:color w:val="000000"/>
          <w:sz w:val="24"/>
        </w:rPr>
        <w:t>可以邀请内部监督人员对投标文件的密封情况进行检查并公证。经确认无误后，由招标工作人员将投标人单独递交的“开标一览表”当众拆封，并由唱标人员按照招标文件规定的内容进行宣读。</w:t>
      </w:r>
    </w:p>
    <w:p>
      <w:pPr>
        <w:spacing w:line="360" w:lineRule="exact"/>
        <w:ind w:firstLine="480"/>
        <w:rPr>
          <w:rFonts w:ascii="宋体" w:hAnsi="宋体" w:cs="宋体"/>
          <w:color w:val="000000"/>
          <w:sz w:val="24"/>
        </w:rPr>
      </w:pPr>
      <w:r>
        <w:rPr>
          <w:rFonts w:hint="eastAsia" w:ascii="宋体" w:hAnsi="宋体" w:cs="宋体"/>
          <w:color w:val="000000"/>
          <w:sz w:val="24"/>
        </w:rPr>
        <w:t>（4）开标时，“开标一览表”中的大写金额与小写金额不一致的，以大写金额为准；总价金额与按单价计算的汇总金额不一致的，以单价计算的汇总金额为准；单价金额有明显小数点错误的，以总价为准，并修改单价。</w:t>
      </w:r>
    </w:p>
    <w:p>
      <w:pPr>
        <w:spacing w:line="360" w:lineRule="exact"/>
        <w:ind w:firstLine="480"/>
        <w:rPr>
          <w:rFonts w:ascii="宋体" w:hAnsi="宋体" w:cs="宋体"/>
          <w:color w:val="000000"/>
          <w:sz w:val="24"/>
        </w:rPr>
      </w:pPr>
      <w:r>
        <w:rPr>
          <w:rFonts w:hint="eastAsia" w:ascii="宋体" w:hAnsi="宋体" w:cs="宋体"/>
          <w:color w:val="000000"/>
          <w:sz w:val="24"/>
        </w:rPr>
        <w:t>（5）投标文件中有关明细表内容与“开标一览表”不一致的，以“开标一览表”为准。对不同文字文本投标文件的解释发生异议的，以中文文本为准。</w:t>
      </w:r>
    </w:p>
    <w:p>
      <w:pPr>
        <w:spacing w:line="360" w:lineRule="exact"/>
        <w:ind w:firstLine="480"/>
        <w:rPr>
          <w:rFonts w:ascii="宋体" w:hAnsi="宋体" w:cs="宋体"/>
          <w:color w:val="000000"/>
          <w:sz w:val="24"/>
        </w:rPr>
      </w:pPr>
      <w:r>
        <w:rPr>
          <w:rFonts w:hint="eastAsia" w:ascii="宋体" w:hAnsi="宋体" w:cs="宋体"/>
          <w:color w:val="000000"/>
          <w:sz w:val="24"/>
        </w:rPr>
        <w:t>（6）所有投标唱标完毕，如投标人代表对宣读的“开标一览表”上的内容有异议的，应在获得开标会主持人同意后当场提出。如确实属于唱标人员宣读错了的，经现场监督人员和公证人员核实后，当场予以更正。</w:t>
      </w:r>
    </w:p>
    <w:p>
      <w:pPr>
        <w:spacing w:before="120" w:line="360" w:lineRule="exact"/>
        <w:ind w:firstLine="480" w:firstLineChars="200"/>
        <w:rPr>
          <w:rFonts w:ascii="宋体" w:hAnsi="宋体" w:cs="宋体"/>
          <w:color w:val="000000"/>
          <w:sz w:val="24"/>
        </w:rPr>
      </w:pPr>
      <w:r>
        <w:rPr>
          <w:rFonts w:hint="eastAsia" w:ascii="宋体" w:hAnsi="宋体" w:cs="宋体"/>
          <w:color w:val="000000"/>
          <w:sz w:val="24"/>
        </w:rPr>
        <w:t>22.2 开标程序</w:t>
      </w:r>
    </w:p>
    <w:p>
      <w:pPr>
        <w:spacing w:line="360" w:lineRule="exact"/>
        <w:ind w:firstLine="480" w:firstLineChars="200"/>
        <w:rPr>
          <w:rFonts w:ascii="宋体" w:hAnsi="宋体" w:cs="宋体"/>
          <w:color w:val="000000"/>
          <w:sz w:val="24"/>
        </w:rPr>
      </w:pPr>
      <w:r>
        <w:rPr>
          <w:rFonts w:hint="eastAsia" w:ascii="宋体" w:hAnsi="宋体" w:cs="宋体"/>
          <w:color w:val="000000"/>
          <w:sz w:val="24"/>
        </w:rPr>
        <w:t>开标会主持人按照招标文件规定的开标时间宣布开标，按照规定要求主持开标会。开标将按以下程序进行：</w:t>
      </w:r>
    </w:p>
    <w:p>
      <w:pPr>
        <w:spacing w:line="360" w:lineRule="exact"/>
        <w:ind w:firstLine="480"/>
        <w:rPr>
          <w:rFonts w:ascii="宋体" w:hAnsi="宋体" w:cs="宋体"/>
          <w:color w:val="000000"/>
          <w:sz w:val="24"/>
        </w:rPr>
      </w:pPr>
      <w:r>
        <w:rPr>
          <w:rFonts w:hint="eastAsia" w:ascii="宋体" w:hAnsi="宋体" w:cs="宋体"/>
          <w:color w:val="000000"/>
          <w:sz w:val="24"/>
        </w:rPr>
        <w:t>（1）宣布开标会开始。开标时间到，主持人宣布开标会开始并致辞，当众宣布参加开标会的现场监督人员和主持人、唱标、会议记录等招标工作人员，根据“供应商签到表”宣布参加投标的供应商名单。</w:t>
      </w:r>
    </w:p>
    <w:p>
      <w:pPr>
        <w:spacing w:line="360" w:lineRule="exact"/>
        <w:ind w:firstLine="480"/>
        <w:rPr>
          <w:rFonts w:ascii="宋体" w:hAnsi="宋体" w:cs="宋体"/>
          <w:color w:val="000000"/>
          <w:sz w:val="24"/>
        </w:rPr>
      </w:pPr>
      <w:r>
        <w:rPr>
          <w:rFonts w:hint="eastAsia" w:ascii="宋体" w:hAnsi="宋体" w:cs="宋体"/>
          <w:color w:val="000000"/>
          <w:sz w:val="24"/>
        </w:rPr>
        <w:t>（2）宣布会场纪律和有关注意事项。</w:t>
      </w:r>
    </w:p>
    <w:p>
      <w:pPr>
        <w:spacing w:line="360" w:lineRule="exact"/>
        <w:ind w:firstLine="480"/>
        <w:rPr>
          <w:rFonts w:ascii="宋体" w:hAnsi="宋体" w:cs="宋体"/>
          <w:color w:val="000000"/>
          <w:sz w:val="24"/>
        </w:rPr>
      </w:pPr>
      <w:r>
        <w:rPr>
          <w:rFonts w:hint="eastAsia" w:ascii="宋体" w:hAnsi="宋体" w:cs="宋体"/>
          <w:color w:val="000000"/>
          <w:sz w:val="24"/>
        </w:rPr>
        <w:t>（3）当众宣布检查投标文件的密封情况。</w:t>
      </w:r>
    </w:p>
    <w:p>
      <w:pPr>
        <w:spacing w:line="360" w:lineRule="exact"/>
        <w:ind w:firstLine="480"/>
        <w:rPr>
          <w:rFonts w:ascii="宋体" w:hAnsi="宋体" w:cs="宋体"/>
          <w:color w:val="000000"/>
          <w:sz w:val="24"/>
        </w:rPr>
      </w:pPr>
      <w:r>
        <w:rPr>
          <w:rFonts w:hint="eastAsia" w:ascii="宋体" w:hAnsi="宋体" w:cs="宋体"/>
          <w:color w:val="000000"/>
          <w:sz w:val="24"/>
        </w:rPr>
        <w:t>（4）开标唱标。主持人宣布开标后，由现场工作人员按任意顺序对投标人的“开标一览表”当众进行拆封，由唱标人员对其“开标一览表”的项目名称、投标报价以及投标人名称进行宣读。同时，工作人员将投标人的“开标一览表”做开标记录。唱标人员在唱标过程中，如遇有字迹不清楚的，应即刻报告主持人，经现场监督人员核实后，主持人立即请投标人代表现场进行澄清。</w:t>
      </w:r>
    </w:p>
    <w:p>
      <w:pPr>
        <w:spacing w:line="360" w:lineRule="exact"/>
        <w:ind w:firstLine="480"/>
        <w:rPr>
          <w:rFonts w:ascii="宋体" w:hAnsi="宋体" w:cs="宋体"/>
          <w:color w:val="000000"/>
          <w:sz w:val="24"/>
        </w:rPr>
      </w:pPr>
      <w:r>
        <w:rPr>
          <w:rFonts w:hint="eastAsia" w:ascii="宋体" w:hAnsi="宋体" w:cs="宋体"/>
          <w:color w:val="000000"/>
          <w:sz w:val="24"/>
        </w:rPr>
        <w:t>（5）宣布开标会结束。主持人宣布开标会结束后，所有投标人代表应立即退场。</w:t>
      </w:r>
    </w:p>
    <w:p>
      <w:pPr>
        <w:spacing w:before="120" w:line="360" w:lineRule="exact"/>
        <w:ind w:firstLine="480" w:firstLineChars="200"/>
        <w:rPr>
          <w:rFonts w:ascii="宋体" w:hAnsi="宋体" w:cs="宋体"/>
          <w:color w:val="000000"/>
          <w:sz w:val="24"/>
        </w:rPr>
      </w:pPr>
      <w:r>
        <w:rPr>
          <w:rFonts w:hint="eastAsia" w:ascii="宋体" w:hAnsi="宋体" w:cs="宋体"/>
          <w:color w:val="000000"/>
          <w:sz w:val="24"/>
        </w:rPr>
        <w:t>22.3 投标文件鉴定</w:t>
      </w:r>
    </w:p>
    <w:p>
      <w:pPr>
        <w:spacing w:line="360" w:lineRule="exact"/>
        <w:ind w:firstLine="480"/>
        <w:rPr>
          <w:rFonts w:ascii="宋体" w:hAnsi="宋体" w:cs="宋体"/>
          <w:color w:val="000000"/>
          <w:sz w:val="24"/>
        </w:rPr>
      </w:pPr>
      <w:r>
        <w:rPr>
          <w:rFonts w:hint="eastAsia" w:ascii="宋体" w:hAnsi="宋体" w:cs="宋体"/>
          <w:color w:val="000000"/>
          <w:sz w:val="24"/>
        </w:rPr>
        <w:t>（1）评标时，</w:t>
      </w:r>
      <w:r>
        <w:rPr>
          <w:rFonts w:hint="eastAsia" w:ascii="宋体" w:hAnsi="宋体" w:cs="宋体"/>
          <w:color w:val="000000"/>
          <w:sz w:val="24"/>
          <w:lang w:eastAsia="zh-CN"/>
        </w:rPr>
        <w:t>询价小组</w:t>
      </w:r>
      <w:r>
        <w:rPr>
          <w:rFonts w:hint="eastAsia" w:ascii="宋体" w:hAnsi="宋体" w:cs="宋体"/>
          <w:color w:val="000000"/>
          <w:sz w:val="24"/>
        </w:rPr>
        <w:t>将对投标文件进行初步审查，检查投标文件内容是否完整、编排是否有序、是否提交了投标保证金、文件签署是否规范以及投标人资格是否符合要求、是否进行实质响应等。</w:t>
      </w:r>
      <w:r>
        <w:rPr>
          <w:rFonts w:hint="eastAsia" w:ascii="宋体" w:hAnsi="宋体" w:cs="宋体"/>
          <w:color w:val="000000"/>
          <w:sz w:val="24"/>
          <w:lang w:eastAsia="zh-CN"/>
        </w:rPr>
        <w:t>询价小组</w:t>
      </w:r>
      <w:r>
        <w:rPr>
          <w:rFonts w:hint="eastAsia" w:ascii="宋体" w:hAnsi="宋体" w:cs="宋体"/>
          <w:color w:val="000000"/>
          <w:sz w:val="24"/>
        </w:rPr>
        <w:t>至根据投标文件本身的内容来判定投标文件的响应性，而不是寻求外部的证据。如投标文件被确认为无效，将及时通知该投标人。</w:t>
      </w:r>
    </w:p>
    <w:p>
      <w:pPr>
        <w:spacing w:line="360" w:lineRule="exact"/>
        <w:ind w:firstLine="480"/>
        <w:rPr>
          <w:rFonts w:ascii="宋体" w:hAnsi="宋体" w:cs="宋体"/>
          <w:color w:val="000000"/>
          <w:sz w:val="24"/>
        </w:rPr>
      </w:pPr>
      <w:r>
        <w:rPr>
          <w:rFonts w:hint="eastAsia" w:ascii="宋体" w:hAnsi="宋体" w:cs="宋体"/>
          <w:color w:val="000000"/>
          <w:sz w:val="24"/>
        </w:rPr>
        <w:t>（2）初审结束后，由投标委员会对通过初审的投标文件进行评比，并根据</w:t>
      </w:r>
      <w:r>
        <w:rPr>
          <w:rFonts w:hint="eastAsia" w:ascii="宋体" w:hAnsi="宋体" w:cs="宋体"/>
          <w:color w:val="000000"/>
          <w:sz w:val="24"/>
          <w:lang w:val="en-US" w:eastAsia="zh-CN"/>
        </w:rPr>
        <w:t>报价</w:t>
      </w:r>
      <w:r>
        <w:rPr>
          <w:rFonts w:hint="eastAsia" w:ascii="宋体" w:hAnsi="宋体" w:cs="宋体"/>
          <w:color w:val="000000"/>
          <w:sz w:val="24"/>
        </w:rPr>
        <w:t>确定中标候选人。</w:t>
      </w:r>
    </w:p>
    <w:p>
      <w:pPr>
        <w:spacing w:line="360" w:lineRule="exact"/>
        <w:ind w:firstLine="480"/>
        <w:rPr>
          <w:rFonts w:ascii="宋体" w:hAnsi="宋体" w:cs="宋体"/>
          <w:color w:val="000000"/>
          <w:sz w:val="24"/>
        </w:rPr>
      </w:pPr>
      <w:r>
        <w:rPr>
          <w:rFonts w:hint="eastAsia" w:ascii="宋体" w:hAnsi="宋体" w:cs="宋体"/>
          <w:color w:val="000000"/>
          <w:sz w:val="24"/>
        </w:rPr>
        <w:t>（3）对于投标文件中不构成实质性偏差的、细微的不正规、不一致或不规范，采购人及</w:t>
      </w:r>
      <w:r>
        <w:rPr>
          <w:rFonts w:hint="eastAsia" w:ascii="宋体" w:hAnsi="宋体" w:cs="宋体"/>
          <w:color w:val="000000"/>
          <w:sz w:val="24"/>
          <w:lang w:eastAsia="zh-CN"/>
        </w:rPr>
        <w:t>询价小组</w:t>
      </w:r>
      <w:r>
        <w:rPr>
          <w:rFonts w:hint="eastAsia" w:ascii="宋体" w:hAnsi="宋体" w:cs="宋体"/>
          <w:color w:val="000000"/>
          <w:sz w:val="24"/>
        </w:rPr>
        <w:t>可以接受，但这种接受不能影响评审时投标人之间的相对排序。</w:t>
      </w:r>
    </w:p>
    <w:p>
      <w:pPr>
        <w:spacing w:line="360" w:lineRule="exact"/>
        <w:ind w:firstLine="480"/>
        <w:rPr>
          <w:rFonts w:ascii="宋体" w:hAnsi="宋体" w:cs="宋体"/>
          <w:color w:val="000000"/>
          <w:sz w:val="24"/>
        </w:rPr>
      </w:pPr>
      <w:r>
        <w:rPr>
          <w:rFonts w:hint="eastAsia" w:ascii="宋体" w:hAnsi="宋体" w:cs="宋体"/>
          <w:color w:val="000000"/>
          <w:sz w:val="24"/>
        </w:rPr>
        <w:t>（4）如果投标文件实质上不响应招标文件的要求，采购人及</w:t>
      </w:r>
      <w:r>
        <w:rPr>
          <w:rFonts w:hint="eastAsia" w:ascii="宋体" w:hAnsi="宋体" w:cs="宋体"/>
          <w:color w:val="000000"/>
          <w:sz w:val="24"/>
          <w:lang w:eastAsia="zh-CN"/>
        </w:rPr>
        <w:t>询价小组</w:t>
      </w:r>
      <w:r>
        <w:rPr>
          <w:rFonts w:hint="eastAsia" w:ascii="宋体" w:hAnsi="宋体" w:cs="宋体"/>
          <w:color w:val="000000"/>
          <w:sz w:val="24"/>
        </w:rPr>
        <w:t>将予以拒绝，并且不允许通过修正或撤消不符合要求的差异或保留，使之成为具有响应性的投标。</w:t>
      </w:r>
    </w:p>
    <w:p>
      <w:pPr>
        <w:spacing w:line="360" w:lineRule="exact"/>
        <w:ind w:firstLine="480"/>
        <w:rPr>
          <w:rFonts w:ascii="宋体" w:hAnsi="宋体" w:cs="宋体"/>
          <w:b/>
          <w:color w:val="000000"/>
          <w:sz w:val="24"/>
        </w:rPr>
      </w:pPr>
      <w:r>
        <w:rPr>
          <w:rFonts w:hint="eastAsia" w:ascii="宋体" w:hAnsi="宋体" w:cs="宋体"/>
          <w:color w:val="000000"/>
          <w:sz w:val="24"/>
        </w:rPr>
        <w:t>（5）经开标后递交至</w:t>
      </w:r>
      <w:r>
        <w:rPr>
          <w:rFonts w:hint="eastAsia" w:ascii="宋体" w:hAnsi="宋体" w:cs="宋体"/>
          <w:color w:val="000000"/>
          <w:sz w:val="24"/>
          <w:lang w:eastAsia="zh-CN"/>
        </w:rPr>
        <w:t>询价小组</w:t>
      </w:r>
      <w:r>
        <w:rPr>
          <w:rFonts w:hint="eastAsia" w:ascii="宋体" w:hAnsi="宋体" w:cs="宋体"/>
          <w:color w:val="000000"/>
          <w:sz w:val="24"/>
        </w:rPr>
        <w:t>的投标文件，仍需接受相关符合性的检查，并有可能在评审过程中被判断为无效。</w:t>
      </w:r>
    </w:p>
    <w:p>
      <w:pPr>
        <w:pStyle w:val="6"/>
        <w:spacing w:line="360" w:lineRule="exact"/>
        <w:ind w:firstLine="482" w:firstLineChars="200"/>
        <w:rPr>
          <w:rFonts w:ascii="宋体" w:hAnsi="宋体" w:cs="宋体"/>
          <w:bCs w:val="0"/>
          <w:sz w:val="24"/>
          <w:szCs w:val="24"/>
        </w:rPr>
      </w:pPr>
      <w:bookmarkStart w:id="112" w:name="_Toc10191"/>
      <w:bookmarkStart w:id="113" w:name="_Toc454373558"/>
      <w:bookmarkStart w:id="114" w:name="_Toc2001"/>
      <w:bookmarkStart w:id="115" w:name="_Toc365468155"/>
      <w:r>
        <w:rPr>
          <w:rFonts w:hint="eastAsia" w:ascii="宋体" w:hAnsi="宋体" w:cs="宋体"/>
          <w:bCs w:val="0"/>
          <w:color w:val="000000"/>
          <w:sz w:val="24"/>
          <w:szCs w:val="24"/>
        </w:rPr>
        <w:t>23．</w:t>
      </w:r>
      <w:bookmarkEnd w:id="112"/>
      <w:bookmarkEnd w:id="113"/>
      <w:bookmarkEnd w:id="114"/>
      <w:bookmarkEnd w:id="115"/>
      <w:r>
        <w:rPr>
          <w:rFonts w:hint="eastAsia" w:ascii="宋体" w:hAnsi="宋体" w:cs="宋体"/>
          <w:bCs w:val="0"/>
          <w:color w:val="000000"/>
          <w:sz w:val="24"/>
          <w:szCs w:val="24"/>
        </w:rPr>
        <w:t>中标候选人公示</w:t>
      </w:r>
    </w:p>
    <w:p>
      <w:pPr>
        <w:tabs>
          <w:tab w:val="left" w:pos="7665"/>
        </w:tabs>
        <w:spacing w:line="360" w:lineRule="exact"/>
        <w:ind w:firstLine="480" w:firstLineChars="200"/>
        <w:rPr>
          <w:rFonts w:ascii="宋体" w:hAnsi="宋体" w:cs="宋体"/>
          <w:sz w:val="24"/>
          <w:szCs w:val="28"/>
        </w:rPr>
      </w:pPr>
      <w:r>
        <w:rPr>
          <w:rFonts w:hint="eastAsia" w:ascii="宋体" w:hAnsi="宋体" w:cs="宋体"/>
          <w:sz w:val="24"/>
        </w:rPr>
        <w:t>23.1</w:t>
      </w:r>
      <w:r>
        <w:rPr>
          <w:rFonts w:hint="eastAsia" w:ascii="宋体" w:hAnsi="宋体" w:cs="宋体"/>
          <w:sz w:val="24"/>
          <w:szCs w:val="28"/>
        </w:rPr>
        <w:t>采购人将按照有关规定，对尽职考察后的中标候选人在</w:t>
      </w:r>
      <w:r>
        <w:rPr>
          <w:rFonts w:hint="eastAsia" w:ascii="宋体" w:hAnsi="宋体" w:cs="宋体"/>
          <w:sz w:val="24"/>
          <w:szCs w:val="28"/>
          <w:u w:val="single"/>
          <w:lang w:val="en-US" w:eastAsia="zh-CN"/>
        </w:rPr>
        <w:t>南江县妇幼保健院官网</w:t>
      </w:r>
      <w:r>
        <w:rPr>
          <w:rFonts w:hint="eastAsia" w:ascii="宋体" w:hAnsi="宋体" w:cs="宋体"/>
          <w:sz w:val="24"/>
          <w:szCs w:val="28"/>
        </w:rPr>
        <w:t>公</w:t>
      </w:r>
      <w:r>
        <w:rPr>
          <w:rFonts w:hint="eastAsia" w:ascii="宋体" w:hAnsi="宋体" w:cs="宋体"/>
          <w:color w:val="000000"/>
          <w:sz w:val="24"/>
        </w:rPr>
        <w:t>示</w:t>
      </w:r>
      <w:r>
        <w:rPr>
          <w:rFonts w:hint="eastAsia" w:ascii="宋体" w:hAnsi="宋体" w:cs="宋体"/>
          <w:sz w:val="24"/>
          <w:szCs w:val="28"/>
        </w:rPr>
        <w:t>。</w:t>
      </w:r>
    </w:p>
    <w:p>
      <w:pPr>
        <w:pStyle w:val="6"/>
        <w:spacing w:line="360" w:lineRule="exact"/>
        <w:ind w:firstLine="482" w:firstLineChars="200"/>
        <w:rPr>
          <w:rFonts w:ascii="宋体" w:hAnsi="宋体" w:cs="宋体"/>
          <w:color w:val="000000"/>
          <w:sz w:val="24"/>
          <w:szCs w:val="24"/>
        </w:rPr>
      </w:pPr>
      <w:r>
        <w:rPr>
          <w:rFonts w:hint="eastAsia" w:ascii="宋体" w:hAnsi="宋体" w:cs="宋体"/>
          <w:color w:val="000000"/>
          <w:sz w:val="24"/>
          <w:szCs w:val="24"/>
        </w:rPr>
        <w:t>24.中标通知书</w:t>
      </w:r>
    </w:p>
    <w:p>
      <w:pPr>
        <w:tabs>
          <w:tab w:val="left" w:pos="7665"/>
        </w:tabs>
        <w:spacing w:line="360" w:lineRule="exact"/>
        <w:ind w:firstLine="480" w:firstLineChars="200"/>
        <w:rPr>
          <w:rFonts w:ascii="宋体" w:hAnsi="宋体" w:cs="宋体"/>
          <w:sz w:val="24"/>
        </w:rPr>
      </w:pPr>
      <w:r>
        <w:rPr>
          <w:rFonts w:hint="eastAsia" w:ascii="宋体" w:hAnsi="宋体" w:cs="宋体"/>
          <w:sz w:val="24"/>
        </w:rPr>
        <w:t>24.1</w:t>
      </w:r>
      <w:r>
        <w:rPr>
          <w:rFonts w:hint="eastAsia" w:ascii="宋体" w:hAnsi="宋体" w:cs="宋体"/>
          <w:sz w:val="24"/>
          <w:szCs w:val="28"/>
        </w:rPr>
        <w:t>中标候选人</w:t>
      </w:r>
      <w:r>
        <w:rPr>
          <w:rFonts w:hint="eastAsia" w:ascii="宋体" w:hAnsi="宋体" w:cs="宋体"/>
          <w:sz w:val="24"/>
        </w:rPr>
        <w:t>公示</w:t>
      </w:r>
      <w:r>
        <w:rPr>
          <w:rFonts w:hint="default" w:ascii="宋体" w:hAnsi="宋体" w:cs="宋体"/>
          <w:sz w:val="24"/>
        </w:rPr>
        <w:t>1</w:t>
      </w:r>
      <w:r>
        <w:rPr>
          <w:rFonts w:hint="eastAsia" w:ascii="宋体" w:hAnsi="宋体" w:cs="宋体"/>
          <w:sz w:val="24"/>
        </w:rPr>
        <w:t>个工作日无异议后，采购人将以书面形式发出《中标通知书》。中标通知书为签订采购合同的依据，是合同的有效组成部分。</w:t>
      </w:r>
    </w:p>
    <w:p>
      <w:pPr>
        <w:tabs>
          <w:tab w:val="left" w:pos="7665"/>
        </w:tabs>
        <w:spacing w:line="360" w:lineRule="exact"/>
        <w:ind w:firstLine="480"/>
        <w:rPr>
          <w:rFonts w:ascii="宋体" w:hAnsi="宋体" w:cs="宋体"/>
          <w:sz w:val="24"/>
        </w:rPr>
      </w:pPr>
      <w:r>
        <w:rPr>
          <w:rFonts w:hint="eastAsia" w:ascii="宋体" w:hAnsi="宋体" w:cs="宋体"/>
          <w:sz w:val="24"/>
        </w:rPr>
        <w:t>24.2 中标通知书对采购人和中标人均具有法律效力。中标通知书发出后，采购人改变中标结果，或者中标人无正当理由放弃中标的，应当承担相应的法律责任。</w:t>
      </w:r>
    </w:p>
    <w:p>
      <w:pPr>
        <w:tabs>
          <w:tab w:val="left" w:pos="7665"/>
        </w:tabs>
        <w:spacing w:line="360" w:lineRule="exact"/>
        <w:ind w:firstLine="480"/>
        <w:rPr>
          <w:rFonts w:ascii="宋体" w:hAnsi="宋体" w:cs="宋体"/>
          <w:sz w:val="24"/>
        </w:rPr>
      </w:pPr>
      <w:r>
        <w:rPr>
          <w:rFonts w:hint="eastAsia" w:ascii="宋体" w:hAnsi="宋体" w:cs="宋体"/>
          <w:sz w:val="24"/>
        </w:rPr>
        <w:t>24.3中标人的投标文件本被作为无效投标处理或者有招标相关法律法规规章制度规定的中标无效情形的，采购</w:t>
      </w:r>
      <w:r>
        <w:rPr>
          <w:rFonts w:hint="default" w:ascii="宋体" w:hAnsi="宋体" w:cs="宋体"/>
          <w:sz w:val="24"/>
        </w:rPr>
        <w:t>人</w:t>
      </w:r>
      <w:r>
        <w:rPr>
          <w:rFonts w:hint="eastAsia" w:ascii="宋体" w:hAnsi="宋体" w:cs="宋体"/>
          <w:sz w:val="24"/>
        </w:rPr>
        <w:t>在取得有权主体的认定以后，应当通告发出的中标通知书无效，并收回发出的中标通知书（中标人也应当缴回），依法重新确定中标人或者重新开展采购活动。</w:t>
      </w:r>
    </w:p>
    <w:p>
      <w:pPr>
        <w:pStyle w:val="5"/>
        <w:spacing w:line="360" w:lineRule="exact"/>
        <w:jc w:val="center"/>
        <w:rPr>
          <w:rFonts w:ascii="宋体" w:hAnsi="宋体" w:eastAsia="宋体" w:cs="宋体"/>
          <w:sz w:val="24"/>
          <w:szCs w:val="24"/>
        </w:rPr>
      </w:pPr>
      <w:bookmarkStart w:id="116" w:name="_Toc454373559"/>
      <w:bookmarkStart w:id="117" w:name="_Toc365468156"/>
      <w:bookmarkStart w:id="118" w:name="_Toc9153"/>
      <w:bookmarkStart w:id="119" w:name="_Toc26424"/>
      <w:r>
        <w:rPr>
          <w:rFonts w:hint="eastAsia" w:ascii="宋体" w:hAnsi="宋体" w:eastAsia="宋体" w:cs="宋体"/>
          <w:sz w:val="24"/>
          <w:szCs w:val="24"/>
        </w:rPr>
        <w:t>六、签订、履行合同</w:t>
      </w:r>
      <w:bookmarkEnd w:id="116"/>
      <w:bookmarkEnd w:id="117"/>
      <w:r>
        <w:rPr>
          <w:rFonts w:hint="eastAsia" w:ascii="宋体" w:hAnsi="宋体" w:eastAsia="宋体" w:cs="宋体"/>
          <w:sz w:val="24"/>
          <w:szCs w:val="24"/>
        </w:rPr>
        <w:t>及验收</w:t>
      </w:r>
      <w:bookmarkEnd w:id="118"/>
      <w:bookmarkEnd w:id="119"/>
    </w:p>
    <w:p>
      <w:pPr>
        <w:spacing w:before="120" w:line="360" w:lineRule="exact"/>
        <w:ind w:firstLine="482" w:firstLineChars="200"/>
        <w:rPr>
          <w:rFonts w:ascii="宋体" w:hAnsi="宋体" w:cs="宋体"/>
          <w:b/>
          <w:bCs/>
          <w:sz w:val="24"/>
        </w:rPr>
      </w:pPr>
      <w:r>
        <w:rPr>
          <w:rFonts w:hint="eastAsia" w:ascii="宋体" w:hAnsi="宋体" w:cs="宋体"/>
          <w:b/>
          <w:bCs/>
          <w:sz w:val="24"/>
        </w:rPr>
        <w:t>25. 合同的签订</w:t>
      </w:r>
    </w:p>
    <w:p>
      <w:pPr>
        <w:pStyle w:val="16"/>
        <w:ind w:firstLine="150"/>
        <w:rPr>
          <w:sz w:val="15"/>
          <w:szCs w:val="4"/>
        </w:rPr>
      </w:pPr>
    </w:p>
    <w:p>
      <w:pPr>
        <w:spacing w:line="360" w:lineRule="exact"/>
        <w:ind w:firstLine="480" w:firstLineChars="200"/>
        <w:rPr>
          <w:rFonts w:ascii="宋体" w:hAnsi="宋体" w:cs="宋体"/>
          <w:sz w:val="24"/>
        </w:rPr>
      </w:pPr>
      <w:r>
        <w:rPr>
          <w:rFonts w:hint="eastAsia" w:ascii="宋体" w:hAnsi="宋体" w:cs="宋体"/>
          <w:sz w:val="24"/>
        </w:rPr>
        <w:t>25.1中标人在收到采购人发出的《中标通知书》</w:t>
      </w:r>
      <w:r>
        <w:rPr>
          <w:rFonts w:hint="eastAsia" w:ascii="宋体" w:hAnsi="宋体" w:cs="宋体"/>
          <w:sz w:val="24"/>
          <w:lang w:val="en-US" w:eastAsia="zh-CN"/>
        </w:rPr>
        <w:t>15</w:t>
      </w:r>
      <w:r>
        <w:rPr>
          <w:rFonts w:hint="eastAsia" w:ascii="宋体" w:hAnsi="宋体" w:cs="宋体"/>
          <w:sz w:val="24"/>
        </w:rPr>
        <w:t>个工作日内，按照招投标文件以书面形式与采购人签订合同。由于中标人的原因逾期未与采购人签订合同的，将视为放弃中标，取消其中标资格并将按相关规定进行处理。在有合理证据证明投标人在投标过程中承诺的内容不能实质响应的，采购人有权拒签合同。</w:t>
      </w:r>
    </w:p>
    <w:p>
      <w:pPr>
        <w:spacing w:line="360" w:lineRule="exact"/>
        <w:ind w:firstLine="420" w:firstLineChars="175"/>
        <w:rPr>
          <w:rFonts w:ascii="宋体" w:hAnsi="宋体" w:cs="宋体"/>
          <w:sz w:val="24"/>
        </w:rPr>
      </w:pPr>
      <w:r>
        <w:rPr>
          <w:rFonts w:hint="eastAsia" w:ascii="宋体" w:hAnsi="宋体" w:cs="宋体"/>
          <w:sz w:val="24"/>
        </w:rPr>
        <w:t>25.2 采购人不得向中标人提出任何不合理的要求，作为签订合同的条件，不得与中标人私下订立背离合同实质性内容的任何协议，所签订的合同不得对招标文件和中标人投标文件作实质性修改。</w:t>
      </w:r>
    </w:p>
    <w:p>
      <w:pPr>
        <w:spacing w:line="360" w:lineRule="exact"/>
        <w:ind w:firstLine="420" w:firstLineChars="175"/>
        <w:rPr>
          <w:rFonts w:ascii="宋体" w:hAnsi="宋体" w:cs="宋体"/>
          <w:sz w:val="24"/>
        </w:rPr>
      </w:pPr>
      <w:r>
        <w:rPr>
          <w:rFonts w:hint="eastAsia" w:ascii="宋体" w:hAnsi="宋体" w:cs="宋体"/>
          <w:sz w:val="24"/>
        </w:rPr>
        <w:t>25.3经公示无</w:t>
      </w:r>
      <w:r>
        <w:rPr>
          <w:rFonts w:ascii="宋体" w:hAnsi="宋体" w:cs="宋体"/>
          <w:sz w:val="24"/>
        </w:rPr>
        <w:t>异议后</w:t>
      </w:r>
      <w:r>
        <w:rPr>
          <w:rFonts w:hint="eastAsia" w:ascii="宋体" w:hAnsi="宋体" w:cs="宋体"/>
          <w:sz w:val="24"/>
        </w:rPr>
        <w:t>，排名第一的中标候选人放弃中标、因不可抗力不能履行合同的，或者被查实存在影响中标结果的违法行为等情形，不符合中标条件的，采购人可以按照</w:t>
      </w:r>
      <w:r>
        <w:rPr>
          <w:rFonts w:hint="eastAsia" w:ascii="宋体" w:hAnsi="宋体" w:cs="宋体"/>
          <w:sz w:val="24"/>
          <w:lang w:eastAsia="zh-CN"/>
        </w:rPr>
        <w:t>询价小组</w:t>
      </w:r>
      <w:r>
        <w:rPr>
          <w:rFonts w:hint="eastAsia" w:ascii="宋体" w:hAnsi="宋体" w:cs="宋体"/>
          <w:sz w:val="24"/>
        </w:rPr>
        <w:t>提出的中标候选人名单排序依次确定其他中标候选人为中标人，也可以重新招标。</w:t>
      </w:r>
    </w:p>
    <w:p>
      <w:pPr>
        <w:spacing w:line="360" w:lineRule="exact"/>
        <w:ind w:firstLine="420" w:firstLineChars="175"/>
        <w:rPr>
          <w:rFonts w:ascii="宋体" w:hAnsi="宋体" w:cs="宋体"/>
          <w:sz w:val="24"/>
        </w:rPr>
      </w:pPr>
      <w:r>
        <w:rPr>
          <w:rFonts w:hint="eastAsia" w:ascii="宋体" w:hAnsi="宋体" w:cs="宋体"/>
          <w:sz w:val="24"/>
        </w:rPr>
        <w:t>25.4中标人不遵守投标文件的要约、承诺，擅自修改投标文件的内容或在接到中标通知书规定的时间内，借故拖延、拒签合同者，采购人将取消该投标人的中标资格，同时投标保证金不予退还。</w:t>
      </w:r>
    </w:p>
    <w:p>
      <w:pPr>
        <w:spacing w:line="360" w:lineRule="exact"/>
        <w:ind w:firstLine="360" w:firstLineChars="150"/>
        <w:rPr>
          <w:rFonts w:ascii="宋体" w:hAnsi="宋体" w:cs="宋体"/>
          <w:sz w:val="24"/>
        </w:rPr>
      </w:pPr>
      <w:r>
        <w:rPr>
          <w:rFonts w:hint="eastAsia" w:ascii="宋体" w:hAnsi="宋体" w:cs="宋体"/>
          <w:sz w:val="24"/>
        </w:rPr>
        <w:t>25.5招标文件、中标通知书、中标方的投标文件及其澄清文件，均为签订合同的依据。</w:t>
      </w:r>
    </w:p>
    <w:p>
      <w:pPr>
        <w:pStyle w:val="5"/>
        <w:spacing w:line="360" w:lineRule="exact"/>
        <w:ind w:firstLine="482" w:firstLineChars="200"/>
        <w:rPr>
          <w:rFonts w:ascii="宋体" w:hAnsi="宋体" w:eastAsia="宋体" w:cs="宋体"/>
          <w:sz w:val="24"/>
          <w:szCs w:val="24"/>
        </w:rPr>
      </w:pPr>
      <w:bookmarkStart w:id="120" w:name="_Toc18264"/>
      <w:bookmarkStart w:id="121" w:name="_Toc365468157"/>
      <w:bookmarkStart w:id="122" w:name="_Toc454373560"/>
      <w:bookmarkStart w:id="123" w:name="_Toc23195"/>
      <w:r>
        <w:rPr>
          <w:rFonts w:hint="eastAsia" w:ascii="宋体" w:hAnsi="宋体" w:eastAsia="宋体" w:cs="宋体"/>
          <w:sz w:val="24"/>
          <w:szCs w:val="24"/>
        </w:rPr>
        <w:t>26. 合同转包</w:t>
      </w:r>
      <w:bookmarkEnd w:id="120"/>
      <w:bookmarkEnd w:id="121"/>
      <w:bookmarkEnd w:id="122"/>
      <w:bookmarkEnd w:id="123"/>
    </w:p>
    <w:p>
      <w:pPr>
        <w:spacing w:line="360" w:lineRule="exact"/>
        <w:ind w:firstLine="495"/>
        <w:rPr>
          <w:rFonts w:ascii="宋体" w:hAnsi="宋体" w:cs="宋体"/>
          <w:sz w:val="24"/>
        </w:rPr>
      </w:pPr>
      <w:r>
        <w:rPr>
          <w:rFonts w:hint="eastAsia" w:ascii="宋体" w:hAnsi="宋体" w:cs="宋体"/>
          <w:sz w:val="24"/>
        </w:rPr>
        <w:t>本项目不允许转包。</w:t>
      </w:r>
    </w:p>
    <w:p>
      <w:pPr>
        <w:pStyle w:val="5"/>
        <w:spacing w:line="360" w:lineRule="exact"/>
        <w:ind w:firstLine="482" w:firstLineChars="200"/>
        <w:rPr>
          <w:rFonts w:ascii="宋体" w:hAnsi="宋体" w:eastAsia="宋体" w:cs="宋体"/>
          <w:sz w:val="24"/>
          <w:szCs w:val="24"/>
        </w:rPr>
      </w:pPr>
      <w:bookmarkStart w:id="124" w:name="_Toc217446067"/>
      <w:bookmarkStart w:id="125" w:name="_Toc365468158"/>
      <w:bookmarkStart w:id="126" w:name="_Toc454373561"/>
      <w:bookmarkStart w:id="127" w:name="_Toc24839"/>
      <w:bookmarkStart w:id="128" w:name="_Toc3024"/>
      <w:r>
        <w:rPr>
          <w:rFonts w:hint="eastAsia" w:ascii="宋体" w:hAnsi="宋体" w:eastAsia="宋体" w:cs="宋体"/>
          <w:sz w:val="24"/>
          <w:szCs w:val="24"/>
        </w:rPr>
        <w:t xml:space="preserve">27. </w:t>
      </w:r>
      <w:bookmarkEnd w:id="124"/>
      <w:r>
        <w:rPr>
          <w:rFonts w:hint="eastAsia" w:ascii="宋体" w:hAnsi="宋体" w:eastAsia="宋体" w:cs="宋体"/>
          <w:sz w:val="24"/>
          <w:szCs w:val="24"/>
        </w:rPr>
        <w:t>合同分包</w:t>
      </w:r>
      <w:bookmarkEnd w:id="125"/>
      <w:bookmarkEnd w:id="126"/>
      <w:bookmarkEnd w:id="127"/>
      <w:bookmarkEnd w:id="128"/>
    </w:p>
    <w:p>
      <w:pPr>
        <w:spacing w:line="360" w:lineRule="exact"/>
        <w:ind w:firstLine="495"/>
        <w:rPr>
          <w:rFonts w:ascii="宋体" w:hAnsi="宋体" w:cs="宋体"/>
          <w:sz w:val="24"/>
        </w:rPr>
      </w:pPr>
      <w:r>
        <w:rPr>
          <w:rFonts w:hint="eastAsia" w:ascii="宋体" w:hAnsi="宋体" w:cs="宋体"/>
          <w:sz w:val="24"/>
        </w:rPr>
        <w:t>本项目不允许分包。</w:t>
      </w:r>
    </w:p>
    <w:p>
      <w:pPr>
        <w:pStyle w:val="5"/>
        <w:spacing w:line="360" w:lineRule="exact"/>
        <w:ind w:firstLine="482" w:firstLineChars="200"/>
        <w:rPr>
          <w:rFonts w:ascii="宋体" w:hAnsi="宋体" w:eastAsia="宋体" w:cs="宋体"/>
          <w:sz w:val="24"/>
          <w:szCs w:val="24"/>
        </w:rPr>
      </w:pPr>
      <w:bookmarkStart w:id="129" w:name="_Toc365468159"/>
      <w:bookmarkStart w:id="130" w:name="_Toc12385"/>
      <w:bookmarkStart w:id="131" w:name="_Toc3000"/>
      <w:bookmarkStart w:id="132" w:name="_Toc454373562"/>
      <w:r>
        <w:rPr>
          <w:rFonts w:hint="eastAsia" w:ascii="宋体" w:hAnsi="宋体" w:eastAsia="宋体" w:cs="宋体"/>
          <w:sz w:val="24"/>
          <w:szCs w:val="24"/>
        </w:rPr>
        <w:t xml:space="preserve">28. </w:t>
      </w:r>
      <w:bookmarkEnd w:id="129"/>
      <w:bookmarkEnd w:id="130"/>
      <w:bookmarkEnd w:id="131"/>
      <w:bookmarkEnd w:id="132"/>
      <w:bookmarkStart w:id="133" w:name="_Toc454373563"/>
      <w:bookmarkStart w:id="134" w:name="_Toc365468160"/>
      <w:r>
        <w:rPr>
          <w:rFonts w:hint="eastAsia" w:ascii="宋体" w:hAnsi="宋体" w:eastAsia="宋体" w:cs="宋体"/>
          <w:sz w:val="24"/>
          <w:szCs w:val="24"/>
        </w:rPr>
        <w:t>履约保证金</w:t>
      </w:r>
    </w:p>
    <w:p>
      <w:pPr>
        <w:spacing w:line="360" w:lineRule="exact"/>
        <w:ind w:firstLine="480" w:firstLineChars="200"/>
        <w:rPr>
          <w:rFonts w:ascii="宋体" w:hAnsi="宋体" w:cs="宋体"/>
          <w:b/>
          <w:sz w:val="24"/>
          <w:u w:val="single"/>
        </w:rPr>
      </w:pPr>
      <w:r>
        <w:rPr>
          <w:rFonts w:hint="default" w:ascii="宋体" w:hAnsi="宋体" w:cs="宋体"/>
          <w:sz w:val="24"/>
        </w:rPr>
        <w:t>不收取</w:t>
      </w:r>
    </w:p>
    <w:p>
      <w:pPr>
        <w:pStyle w:val="5"/>
        <w:numPr>
          <w:ilvl w:val="0"/>
          <w:numId w:val="2"/>
        </w:numPr>
        <w:spacing w:line="360" w:lineRule="exact"/>
        <w:ind w:firstLine="482" w:firstLineChars="200"/>
        <w:rPr>
          <w:rFonts w:ascii="宋体" w:hAnsi="宋体" w:eastAsia="宋体" w:cs="宋体"/>
          <w:sz w:val="24"/>
          <w:szCs w:val="24"/>
        </w:rPr>
      </w:pPr>
      <w:r>
        <w:rPr>
          <w:rFonts w:hint="eastAsia" w:ascii="宋体" w:hAnsi="宋体" w:eastAsia="宋体" w:cs="宋体"/>
          <w:sz w:val="24"/>
          <w:szCs w:val="24"/>
        </w:rPr>
        <w:t>履行合同</w:t>
      </w:r>
      <w:bookmarkEnd w:id="133"/>
      <w:bookmarkEnd w:id="134"/>
    </w:p>
    <w:p>
      <w:pPr>
        <w:spacing w:line="360" w:lineRule="exact"/>
        <w:rPr>
          <w:rFonts w:ascii="宋体" w:hAns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9.1 中标人与采购人签订合同后，合同双方应严格执行合同条款，履行合同规定的义务，保证合同的顺利完成。</w:t>
      </w:r>
    </w:p>
    <w:p>
      <w:pPr>
        <w:spacing w:line="360" w:lineRule="exact"/>
        <w:ind w:firstLine="480"/>
        <w:rPr>
          <w:rFonts w:ascii="宋体" w:hAnsi="宋体" w:cs="宋体"/>
          <w:sz w:val="24"/>
        </w:rPr>
      </w:pPr>
      <w:r>
        <w:rPr>
          <w:rFonts w:ascii="宋体" w:hAnsi="宋体" w:cs="宋体"/>
          <w:sz w:val="24"/>
        </w:rPr>
        <w:t>2</w:t>
      </w:r>
      <w:r>
        <w:rPr>
          <w:rFonts w:hint="eastAsia" w:ascii="宋体" w:hAnsi="宋体" w:cs="宋体"/>
          <w:sz w:val="24"/>
        </w:rPr>
        <w:t>9.2 在合同履行过程中，如发生合同纠纷，合同双方应按照《民法典》的有关规定进行处理。</w:t>
      </w:r>
      <w:bookmarkStart w:id="135" w:name="_Toc454373564"/>
      <w:bookmarkStart w:id="136" w:name="_Toc29371"/>
      <w:bookmarkStart w:id="137" w:name="_Toc11693"/>
      <w:bookmarkStart w:id="138" w:name="_Toc365468161"/>
    </w:p>
    <w:p>
      <w:pPr>
        <w:spacing w:line="360" w:lineRule="exact"/>
        <w:ind w:firstLine="480"/>
        <w:rPr>
          <w:rFonts w:ascii="宋体" w:hAnsi="宋体" w:cs="宋体"/>
          <w:sz w:val="24"/>
        </w:rPr>
      </w:pPr>
    </w:p>
    <w:p>
      <w:pPr>
        <w:spacing w:line="360" w:lineRule="exact"/>
        <w:ind w:firstLine="480"/>
        <w:jc w:val="center"/>
        <w:rPr>
          <w:rFonts w:ascii="宋体" w:hAnsi="宋体" w:cs="宋体"/>
          <w:b/>
          <w:bCs/>
          <w:sz w:val="24"/>
        </w:rPr>
      </w:pPr>
      <w:r>
        <w:rPr>
          <w:rFonts w:hint="eastAsia" w:ascii="宋体" w:hAnsi="宋体" w:cs="宋体"/>
          <w:b/>
          <w:bCs/>
          <w:sz w:val="24"/>
        </w:rPr>
        <w:t>七、投标纪律要求</w:t>
      </w:r>
      <w:bookmarkEnd w:id="135"/>
      <w:bookmarkEnd w:id="136"/>
      <w:bookmarkEnd w:id="137"/>
      <w:bookmarkEnd w:id="138"/>
    </w:p>
    <w:p>
      <w:pPr>
        <w:pStyle w:val="6"/>
        <w:spacing w:line="360" w:lineRule="exact"/>
        <w:ind w:firstLine="482" w:firstLineChars="200"/>
        <w:rPr>
          <w:rFonts w:ascii="宋体" w:hAnsi="宋体" w:cs="宋体"/>
          <w:bCs w:val="0"/>
          <w:sz w:val="24"/>
          <w:szCs w:val="24"/>
        </w:rPr>
      </w:pPr>
      <w:bookmarkStart w:id="139" w:name="_Toc26017"/>
      <w:bookmarkStart w:id="140" w:name="_Toc454373565"/>
      <w:bookmarkStart w:id="141" w:name="_Toc29185"/>
      <w:bookmarkStart w:id="142" w:name="_Toc365468162"/>
      <w:r>
        <w:rPr>
          <w:rFonts w:hint="eastAsia" w:ascii="宋体" w:hAnsi="宋体" w:cs="宋体"/>
          <w:sz w:val="24"/>
          <w:szCs w:val="24"/>
        </w:rPr>
        <w:t xml:space="preserve">30. </w:t>
      </w:r>
      <w:r>
        <w:rPr>
          <w:rFonts w:hint="eastAsia" w:ascii="宋体" w:hAnsi="宋体" w:cs="宋体"/>
          <w:bCs w:val="0"/>
          <w:sz w:val="24"/>
          <w:szCs w:val="24"/>
        </w:rPr>
        <w:t>投标人不得具有的情形</w:t>
      </w:r>
      <w:bookmarkEnd w:id="139"/>
      <w:bookmarkEnd w:id="140"/>
      <w:bookmarkEnd w:id="141"/>
      <w:bookmarkEnd w:id="142"/>
    </w:p>
    <w:p>
      <w:pPr>
        <w:pStyle w:val="7"/>
        <w:spacing w:line="360" w:lineRule="exact"/>
        <w:ind w:firstLine="480"/>
        <w:rPr>
          <w:rFonts w:ascii="宋体" w:hAnsi="宋体" w:cs="宋体"/>
          <w:sz w:val="24"/>
        </w:rPr>
      </w:pPr>
      <w:r>
        <w:rPr>
          <w:rFonts w:hint="eastAsia" w:ascii="宋体" w:hAnsi="宋体" w:cs="宋体"/>
          <w:sz w:val="24"/>
        </w:rPr>
        <w:t>投标人参加投标不得有下列情形：</w:t>
      </w:r>
    </w:p>
    <w:p>
      <w:pPr>
        <w:spacing w:line="360" w:lineRule="exact"/>
        <w:ind w:firstLine="460" w:firstLineChars="192"/>
        <w:rPr>
          <w:rFonts w:ascii="宋体" w:hAnsi="宋体" w:cs="宋体"/>
          <w:sz w:val="24"/>
        </w:rPr>
      </w:pPr>
      <w:r>
        <w:rPr>
          <w:rFonts w:hint="eastAsia" w:ascii="宋体" w:hAnsi="宋体" w:cs="宋体"/>
          <w:sz w:val="24"/>
        </w:rPr>
        <w:t>（1）提供虚假材料谋取中标；</w:t>
      </w:r>
    </w:p>
    <w:p>
      <w:pPr>
        <w:spacing w:line="36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360" w:lineRule="exact"/>
        <w:ind w:firstLine="480" w:firstLineChars="200"/>
        <w:rPr>
          <w:rFonts w:ascii="宋体" w:hAnsi="宋体" w:cs="宋体"/>
          <w:sz w:val="24"/>
        </w:rPr>
      </w:pPr>
      <w:r>
        <w:rPr>
          <w:rFonts w:hint="eastAsia" w:ascii="宋体" w:hAnsi="宋体" w:cs="宋体"/>
          <w:sz w:val="24"/>
        </w:rPr>
        <w:t>（3）与招标采购单位、其他投标人恶意串通；</w:t>
      </w:r>
    </w:p>
    <w:p>
      <w:pPr>
        <w:pStyle w:val="7"/>
        <w:spacing w:line="360" w:lineRule="exact"/>
        <w:ind w:firstLine="480"/>
        <w:rPr>
          <w:rFonts w:ascii="宋体" w:hAnsi="宋体" w:cs="宋体"/>
          <w:sz w:val="24"/>
        </w:rPr>
      </w:pPr>
      <w:r>
        <w:rPr>
          <w:rFonts w:hint="eastAsia" w:ascii="宋体" w:hAnsi="宋体" w:cs="宋体"/>
          <w:sz w:val="24"/>
        </w:rPr>
        <w:t>（4）向招标采购单位、</w:t>
      </w:r>
      <w:r>
        <w:rPr>
          <w:rFonts w:hint="eastAsia" w:ascii="宋体" w:hAnsi="宋体" w:cs="宋体"/>
          <w:sz w:val="24"/>
          <w:lang w:eastAsia="zh-CN"/>
        </w:rPr>
        <w:t>询价小组</w:t>
      </w:r>
      <w:r>
        <w:rPr>
          <w:rFonts w:hint="eastAsia" w:ascii="宋体" w:hAnsi="宋体" w:cs="宋体"/>
          <w:sz w:val="24"/>
        </w:rPr>
        <w:t>成员行贿或者提供其他不正当利益；</w:t>
      </w:r>
    </w:p>
    <w:p>
      <w:pPr>
        <w:pStyle w:val="7"/>
        <w:spacing w:line="360" w:lineRule="exact"/>
        <w:ind w:firstLine="480"/>
        <w:rPr>
          <w:rFonts w:ascii="宋体" w:hAnsi="宋体" w:cs="宋体"/>
          <w:sz w:val="24"/>
        </w:rPr>
      </w:pPr>
      <w:r>
        <w:rPr>
          <w:rFonts w:hint="eastAsia" w:ascii="宋体" w:hAnsi="宋体" w:cs="宋体"/>
          <w:sz w:val="24"/>
        </w:rPr>
        <w:t>（5）在招标过程中与招标采购单位进行协商谈判；</w:t>
      </w:r>
    </w:p>
    <w:p>
      <w:pPr>
        <w:pStyle w:val="7"/>
        <w:spacing w:line="360" w:lineRule="exact"/>
        <w:ind w:firstLine="480"/>
        <w:rPr>
          <w:rFonts w:ascii="宋体" w:hAnsi="宋体" w:cs="宋体"/>
          <w:sz w:val="24"/>
        </w:rPr>
      </w:pPr>
      <w:r>
        <w:rPr>
          <w:rFonts w:hint="eastAsia" w:ascii="宋体" w:hAnsi="宋体" w:cs="宋体"/>
          <w:sz w:val="24"/>
        </w:rPr>
        <w:t>（6）拒绝有关部门的监督检查或者向监督检查部门提供虚假情况。</w:t>
      </w:r>
    </w:p>
    <w:p>
      <w:pPr>
        <w:pStyle w:val="7"/>
        <w:spacing w:line="360" w:lineRule="exact"/>
        <w:ind w:firstLine="480"/>
        <w:rPr>
          <w:rFonts w:ascii="宋体" w:hAnsi="宋体" w:cs="宋体"/>
          <w:sz w:val="24"/>
        </w:rPr>
      </w:pPr>
      <w:r>
        <w:rPr>
          <w:rFonts w:hint="eastAsia" w:ascii="宋体" w:hAnsi="宋体" w:cs="宋体"/>
          <w:sz w:val="24"/>
        </w:rPr>
        <w:t>有上述情形之一的投标人，属于不合格投标人，其投标或中标资格将被取消。</w:t>
      </w:r>
    </w:p>
    <w:p>
      <w:pPr>
        <w:pStyle w:val="7"/>
        <w:spacing w:line="360" w:lineRule="exact"/>
        <w:ind w:firstLine="0" w:firstLineChars="0"/>
        <w:rPr>
          <w:rFonts w:ascii="宋体" w:hAnsi="宋体" w:cs="宋体"/>
          <w:sz w:val="24"/>
        </w:rPr>
      </w:pPr>
    </w:p>
    <w:p>
      <w:pPr>
        <w:pStyle w:val="5"/>
        <w:spacing w:line="360" w:lineRule="exact"/>
        <w:jc w:val="center"/>
        <w:rPr>
          <w:rFonts w:ascii="宋体" w:hAnsi="宋体" w:eastAsia="宋体" w:cs="宋体"/>
          <w:sz w:val="24"/>
          <w:szCs w:val="24"/>
        </w:rPr>
      </w:pPr>
      <w:bookmarkStart w:id="143" w:name="_Toc14541"/>
      <w:bookmarkStart w:id="144" w:name="_Toc15761"/>
      <w:bookmarkStart w:id="145" w:name="_Toc365468163"/>
      <w:bookmarkStart w:id="146" w:name="_Toc454373566"/>
      <w:r>
        <w:rPr>
          <w:rFonts w:hint="eastAsia" w:ascii="宋体" w:hAnsi="宋体" w:eastAsia="宋体" w:cs="宋体"/>
          <w:sz w:val="24"/>
          <w:szCs w:val="24"/>
        </w:rPr>
        <w:t>八、支付货款</w:t>
      </w:r>
      <w:bookmarkEnd w:id="143"/>
      <w:bookmarkEnd w:id="144"/>
      <w:bookmarkEnd w:id="145"/>
      <w:bookmarkEnd w:id="146"/>
    </w:p>
    <w:p>
      <w:pPr>
        <w:pStyle w:val="7"/>
        <w:spacing w:line="360" w:lineRule="exact"/>
        <w:ind w:firstLine="0" w:firstLineChars="0"/>
        <w:rPr>
          <w:rFonts w:ascii="宋体" w:hAnsi="宋体" w:cs="宋体"/>
          <w:sz w:val="24"/>
        </w:rPr>
      </w:pPr>
      <w:r>
        <w:rPr>
          <w:rFonts w:hint="eastAsia" w:ascii="宋体" w:hAnsi="宋体" w:cs="宋体"/>
          <w:sz w:val="24"/>
        </w:rPr>
        <w:t xml:space="preserve">    30.见合同主要条款中的货款支付约定。</w:t>
      </w:r>
    </w:p>
    <w:p>
      <w:pPr>
        <w:widowControl/>
        <w:spacing w:line="360" w:lineRule="atLeast"/>
        <w:jc w:val="left"/>
        <w:rPr>
          <w:rFonts w:ascii="宋体" w:hAnsi="宋体" w:cs="宋体"/>
          <w:b/>
          <w:sz w:val="24"/>
        </w:rPr>
      </w:pPr>
      <w:bookmarkStart w:id="147" w:name="_Toc217446083"/>
    </w:p>
    <w:p>
      <w:pPr>
        <w:pStyle w:val="16"/>
        <w:ind w:firstLine="360"/>
        <w:rPr>
          <w:rFonts w:ascii="宋体" w:hAnsi="宋体" w:cs="宋体"/>
          <w:sz w:val="36"/>
        </w:rPr>
      </w:pPr>
      <w:bookmarkStart w:id="148" w:name="_Toc20965"/>
      <w:bookmarkStart w:id="149" w:name="_Toc18250_WPSOffice_Level1"/>
      <w:bookmarkStart w:id="150" w:name="_Toc16567_WPSOffice_Level1"/>
      <w:bookmarkStart w:id="151" w:name="_Toc19201"/>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16"/>
        <w:ind w:firstLine="360"/>
        <w:rPr>
          <w:rFonts w:ascii="宋体" w:hAnsi="宋体" w:cs="宋体"/>
          <w:sz w:val="36"/>
        </w:rPr>
      </w:pPr>
    </w:p>
    <w:p>
      <w:pPr>
        <w:pStyle w:val="5"/>
        <w:spacing w:line="360" w:lineRule="exact"/>
        <w:jc w:val="center"/>
        <w:outlineLvl w:val="0"/>
        <w:rPr>
          <w:rFonts w:ascii="宋体" w:hAnsi="宋体" w:eastAsia="宋体" w:cs="宋体"/>
          <w:sz w:val="36"/>
        </w:rPr>
      </w:pPr>
      <w:bookmarkStart w:id="152" w:name="_Toc5347"/>
      <w:r>
        <w:rPr>
          <w:rFonts w:hint="eastAsia" w:ascii="宋体" w:hAnsi="宋体" w:eastAsia="宋体" w:cs="宋体"/>
          <w:sz w:val="36"/>
        </w:rPr>
        <w:t>第三章 投标文件格式</w:t>
      </w:r>
      <w:bookmarkEnd w:id="148"/>
      <w:bookmarkEnd w:id="149"/>
      <w:bookmarkEnd w:id="150"/>
      <w:bookmarkEnd w:id="151"/>
      <w:bookmarkEnd w:id="152"/>
      <w:bookmarkStart w:id="153" w:name="_Toc308164821"/>
      <w:bookmarkStart w:id="154" w:name="_Toc217446082"/>
    </w:p>
    <w:p>
      <w:pPr>
        <w:widowControl/>
        <w:spacing w:line="360" w:lineRule="atLeast"/>
        <w:rPr>
          <w:rFonts w:ascii="宋体" w:hAnsi="宋体" w:cs="宋体"/>
          <w:b/>
          <w:bCs/>
          <w:sz w:val="36"/>
          <w:szCs w:val="36"/>
        </w:rPr>
      </w:pPr>
    </w:p>
    <w:p>
      <w:pPr>
        <w:widowControl/>
        <w:spacing w:line="360" w:lineRule="atLeast"/>
        <w:jc w:val="center"/>
        <w:rPr>
          <w:rFonts w:ascii="宋体" w:hAnsi="宋体" w:cs="宋体"/>
          <w:b/>
          <w:sz w:val="24"/>
        </w:rPr>
      </w:pPr>
    </w:p>
    <w:p>
      <w:pPr>
        <w:widowControl/>
        <w:spacing w:line="360" w:lineRule="atLeast"/>
        <w:ind w:firstLine="470" w:firstLineChars="196"/>
        <w:outlineLvl w:val="1"/>
        <w:rPr>
          <w:rFonts w:ascii="宋体" w:hAnsi="宋体" w:cs="宋体"/>
          <w:sz w:val="24"/>
        </w:rPr>
      </w:pPr>
      <w:r>
        <w:rPr>
          <w:rFonts w:hint="eastAsia" w:ascii="宋体" w:hAnsi="宋体" w:cs="宋体"/>
          <w:sz w:val="24"/>
        </w:rPr>
        <w:t>一、本章所制投标文件格式，除格式中明确将该格式作为实质性要求的，一律不具有强制性，但是，投标人投标文件相关资料和本章所制格式不一致的，</w:t>
      </w:r>
      <w:r>
        <w:rPr>
          <w:rFonts w:hint="eastAsia" w:ascii="宋体" w:hAnsi="宋体" w:cs="宋体"/>
          <w:sz w:val="24"/>
          <w:lang w:eastAsia="zh-CN"/>
        </w:rPr>
        <w:t>询价小组</w:t>
      </w:r>
      <w:r>
        <w:rPr>
          <w:rFonts w:hint="eastAsia" w:ascii="宋体" w:hAnsi="宋体" w:cs="宋体"/>
          <w:sz w:val="24"/>
        </w:rPr>
        <w:t>将在</w:t>
      </w:r>
      <w:r>
        <w:rPr>
          <w:rFonts w:hint="default" w:ascii="宋体" w:hAnsi="宋体" w:cs="宋体"/>
          <w:sz w:val="24"/>
        </w:rPr>
        <w:t>资格审查</w:t>
      </w:r>
      <w:r>
        <w:rPr>
          <w:rFonts w:hint="eastAsia" w:ascii="宋体" w:hAnsi="宋体" w:cs="宋体"/>
          <w:sz w:val="24"/>
        </w:rPr>
        <w:t>时以投标文件不规范</w:t>
      </w:r>
      <w:r>
        <w:rPr>
          <w:rFonts w:hint="default" w:ascii="宋体" w:hAnsi="宋体" w:cs="宋体"/>
          <w:sz w:val="24"/>
        </w:rPr>
        <w:t>按无效投标</w:t>
      </w:r>
      <w:r>
        <w:rPr>
          <w:rFonts w:hint="eastAsia" w:ascii="宋体" w:hAnsi="宋体" w:cs="宋体"/>
          <w:sz w:val="24"/>
        </w:rPr>
        <w:t>处理。</w:t>
      </w:r>
    </w:p>
    <w:p>
      <w:pPr>
        <w:widowControl/>
        <w:spacing w:line="360" w:lineRule="atLeast"/>
        <w:ind w:firstLine="470" w:firstLineChars="196"/>
        <w:outlineLvl w:val="1"/>
        <w:rPr>
          <w:rFonts w:ascii="宋体" w:hAnsi="宋体" w:cs="宋体"/>
          <w:sz w:val="24"/>
        </w:rPr>
      </w:pPr>
      <w:r>
        <w:rPr>
          <w:rFonts w:hint="eastAsia" w:ascii="宋体" w:hAnsi="宋体" w:cs="宋体"/>
          <w:sz w:val="24"/>
        </w:rPr>
        <w:t>二、本章所制投标文件格式有关表格中的备注栏，由投标人根据自身投标情况作解释性说明，不作为必填项。</w:t>
      </w:r>
    </w:p>
    <w:p>
      <w:pPr>
        <w:widowControl/>
        <w:spacing w:line="360" w:lineRule="atLeast"/>
        <w:ind w:firstLine="470" w:firstLineChars="196"/>
        <w:outlineLvl w:val="1"/>
        <w:rPr>
          <w:rFonts w:ascii="宋体" w:hAnsi="宋体" w:cs="宋体"/>
          <w:sz w:val="24"/>
        </w:rPr>
      </w:pPr>
      <w:r>
        <w:rPr>
          <w:rFonts w:hint="eastAsia" w:ascii="宋体" w:hAnsi="宋体" w:cs="宋体"/>
          <w:sz w:val="24"/>
        </w:rPr>
        <w:t>三、本章所制投标文件格式中需要填写的相关内容事项，可能会与本采购项目无关，在不改变投标文件原义、不影响本项目采购需求的情况下，投标人可以不予填写，但应当注明。</w:t>
      </w: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widowControl/>
        <w:spacing w:line="360" w:lineRule="atLeast"/>
        <w:ind w:firstLine="470" w:firstLineChars="196"/>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widowControl/>
        <w:spacing w:line="360" w:lineRule="atLeast"/>
        <w:ind w:firstLine="470" w:firstLineChars="196"/>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bookmarkEnd w:id="147"/>
    <w:bookmarkEnd w:id="153"/>
    <w:bookmarkEnd w:id="154"/>
    <w:p>
      <w:pPr>
        <w:jc w:val="right"/>
        <w:rPr>
          <w:rFonts w:ascii="宋体" w:hAnsi="宋体" w:cs="宋体"/>
        </w:rPr>
      </w:pPr>
    </w:p>
    <w:p>
      <w:pPr>
        <w:jc w:val="right"/>
        <w:rPr>
          <w:rFonts w:ascii="宋体" w:hAnsi="宋体" w:cs="宋体"/>
          <w:sz w:val="28"/>
          <w:szCs w:val="36"/>
        </w:rPr>
      </w:pPr>
    </w:p>
    <w:p>
      <w:pPr>
        <w:jc w:val="right"/>
        <w:rPr>
          <w:rFonts w:ascii="宋体" w:hAnsi="宋体" w:cs="宋体"/>
          <w:sz w:val="28"/>
          <w:szCs w:val="36"/>
        </w:rPr>
      </w:pPr>
    </w:p>
    <w:p>
      <w:pPr>
        <w:jc w:val="right"/>
        <w:rPr>
          <w:rFonts w:ascii="宋体" w:hAnsi="宋体" w:cs="宋体"/>
        </w:rPr>
      </w:pPr>
      <w:r>
        <w:rPr>
          <w:rFonts w:hint="eastAsia" w:ascii="宋体" w:hAnsi="宋体" w:cs="宋体"/>
          <w:sz w:val="28"/>
          <w:szCs w:val="36"/>
        </w:rPr>
        <w:t>正本/副本</w:t>
      </w:r>
    </w:p>
    <w:p>
      <w:pPr>
        <w:spacing w:line="660" w:lineRule="exact"/>
        <w:jc w:val="center"/>
        <w:rPr>
          <w:rFonts w:ascii="宋体" w:hAnsi="宋体" w:cs="宋体"/>
          <w:b/>
          <w:sz w:val="32"/>
          <w:szCs w:val="32"/>
        </w:rPr>
      </w:pPr>
    </w:p>
    <w:p>
      <w:pPr>
        <w:pStyle w:val="16"/>
        <w:ind w:firstLine="340"/>
      </w:pPr>
    </w:p>
    <w:p>
      <w:pPr>
        <w:spacing w:line="460" w:lineRule="exact"/>
        <w:jc w:val="center"/>
        <w:rPr>
          <w:rFonts w:hint="default" w:ascii="宋体" w:hAnsi="宋体" w:cs="宋体"/>
          <w:b/>
          <w:sz w:val="40"/>
          <w:szCs w:val="40"/>
        </w:rPr>
      </w:pPr>
      <w:r>
        <w:rPr>
          <w:rFonts w:hint="eastAsia" w:ascii="宋体" w:hAnsi="宋体" w:cs="宋体"/>
          <w:b/>
          <w:sz w:val="40"/>
          <w:szCs w:val="40"/>
        </w:rPr>
        <w:t>项目名称：</w:t>
      </w:r>
      <w:r>
        <w:rPr>
          <w:rFonts w:hint="default" w:ascii="宋体" w:hAnsi="宋体" w:cs="宋体"/>
          <w:b/>
          <w:sz w:val="40"/>
          <w:szCs w:val="40"/>
        </w:rPr>
        <w:t>南江县妇幼保健院</w:t>
      </w:r>
    </w:p>
    <w:p>
      <w:pPr>
        <w:spacing w:line="460" w:lineRule="exact"/>
        <w:jc w:val="center"/>
        <w:rPr>
          <w:rFonts w:ascii="宋体" w:hAnsi="宋体" w:cs="宋体"/>
          <w:b/>
          <w:sz w:val="28"/>
          <w:szCs w:val="28"/>
        </w:rPr>
      </w:pPr>
      <w:r>
        <w:rPr>
          <w:rFonts w:hint="eastAsia" w:ascii="宋体" w:hAnsi="宋体" w:cs="宋体"/>
          <w:b/>
          <w:sz w:val="40"/>
          <w:szCs w:val="40"/>
        </w:rPr>
        <w:t>消防系统、设施维保服务采购项目</w:t>
      </w:r>
    </w:p>
    <w:p>
      <w:pPr>
        <w:rPr>
          <w:rFonts w:ascii="宋体" w:hAnsi="宋体" w:cs="宋体"/>
          <w:b/>
          <w:sz w:val="36"/>
          <w:szCs w:val="36"/>
        </w:rPr>
      </w:pPr>
    </w:p>
    <w:p>
      <w:pPr>
        <w:rPr>
          <w:rFonts w:ascii="宋体" w:hAnsi="宋体" w:cs="宋体"/>
          <w:b/>
          <w:sz w:val="36"/>
          <w:szCs w:val="36"/>
        </w:rPr>
      </w:pPr>
    </w:p>
    <w:p>
      <w:pPr>
        <w:pStyle w:val="16"/>
        <w:ind w:firstLine="361"/>
        <w:rPr>
          <w:rFonts w:ascii="宋体" w:hAnsi="宋体" w:cs="宋体"/>
          <w:b/>
          <w:sz w:val="36"/>
          <w:szCs w:val="36"/>
        </w:rPr>
      </w:pPr>
    </w:p>
    <w:p>
      <w:pPr>
        <w:pStyle w:val="16"/>
        <w:ind w:firstLine="361"/>
        <w:rPr>
          <w:rFonts w:ascii="宋体" w:hAnsi="宋体" w:cs="宋体"/>
          <w:b/>
          <w:sz w:val="36"/>
          <w:szCs w:val="36"/>
        </w:rPr>
      </w:pPr>
    </w:p>
    <w:p>
      <w:pPr>
        <w:jc w:val="center"/>
        <w:rPr>
          <w:rFonts w:ascii="宋体" w:hAnsi="宋体" w:cs="宋体"/>
          <w:b/>
          <w:sz w:val="72"/>
          <w:szCs w:val="72"/>
        </w:rPr>
      </w:pPr>
      <w:r>
        <w:rPr>
          <w:rFonts w:hint="eastAsia" w:ascii="宋体" w:hAnsi="宋体" w:cs="宋体"/>
          <w:b/>
          <w:sz w:val="72"/>
          <w:szCs w:val="72"/>
        </w:rPr>
        <w:t>投标文件</w:t>
      </w:r>
    </w:p>
    <w:p>
      <w:pPr>
        <w:pStyle w:val="5"/>
        <w:spacing w:line="360" w:lineRule="exact"/>
        <w:outlineLvl w:val="9"/>
        <w:rPr>
          <w:rFonts w:ascii="宋体" w:hAnsi="宋体" w:eastAsia="宋体" w:cs="宋体"/>
          <w:sz w:val="30"/>
          <w:szCs w:val="30"/>
        </w:rPr>
      </w:pPr>
    </w:p>
    <w:p>
      <w:pPr>
        <w:rPr>
          <w:rFonts w:ascii="宋体" w:hAnsi="宋体" w:cs="宋体"/>
          <w:sz w:val="30"/>
          <w:szCs w:val="30"/>
        </w:rPr>
      </w:pPr>
    </w:p>
    <w:p>
      <w:pPr>
        <w:pStyle w:val="16"/>
        <w:ind w:firstLine="300"/>
        <w:rPr>
          <w:rFonts w:ascii="宋体" w:hAnsi="宋体" w:cs="宋体"/>
          <w:sz w:val="30"/>
          <w:szCs w:val="30"/>
        </w:rPr>
      </w:pPr>
    </w:p>
    <w:p>
      <w:pPr>
        <w:pStyle w:val="16"/>
        <w:ind w:firstLine="300"/>
        <w:rPr>
          <w:rFonts w:ascii="宋体" w:hAnsi="宋体" w:cs="宋体"/>
          <w:sz w:val="30"/>
          <w:szCs w:val="30"/>
        </w:rPr>
      </w:pPr>
    </w:p>
    <w:p>
      <w:pPr>
        <w:spacing w:line="360" w:lineRule="auto"/>
        <w:rPr>
          <w:rFonts w:ascii="宋体" w:hAnsi="宋体" w:cs="宋体"/>
          <w:b/>
          <w:sz w:val="30"/>
          <w:szCs w:val="30"/>
        </w:rPr>
      </w:pPr>
    </w:p>
    <w:p>
      <w:pPr>
        <w:spacing w:line="480" w:lineRule="auto"/>
        <w:ind w:firstLine="1355" w:firstLineChars="450"/>
        <w:rPr>
          <w:rFonts w:ascii="宋体" w:hAnsi="宋体" w:cs="宋体"/>
          <w:b/>
          <w:sz w:val="30"/>
          <w:szCs w:val="30"/>
          <w:u w:val="single"/>
        </w:rPr>
      </w:pPr>
      <w:r>
        <w:rPr>
          <w:rFonts w:hint="eastAsia" w:ascii="宋体" w:hAnsi="宋体" w:cs="宋体"/>
          <w:b/>
          <w:sz w:val="30"/>
          <w:szCs w:val="30"/>
        </w:rPr>
        <w:t xml:space="preserve">投标人名称（盖章） ：  </w:t>
      </w:r>
      <w:r>
        <w:rPr>
          <w:rFonts w:hint="eastAsia" w:ascii="宋体" w:hAnsi="宋体" w:cs="宋体"/>
          <w:b/>
          <w:sz w:val="30"/>
          <w:szCs w:val="30"/>
          <w:u w:val="single"/>
        </w:rPr>
        <w:t xml:space="preserve">                   </w:t>
      </w:r>
    </w:p>
    <w:p>
      <w:pPr>
        <w:spacing w:line="480" w:lineRule="auto"/>
        <w:ind w:firstLine="1355" w:firstLineChars="450"/>
        <w:rPr>
          <w:rFonts w:ascii="宋体" w:hAnsi="宋体" w:cs="宋体"/>
          <w:b/>
          <w:sz w:val="30"/>
          <w:szCs w:val="30"/>
          <w:u w:val="single"/>
        </w:rPr>
      </w:pPr>
      <w:r>
        <w:rPr>
          <w:rFonts w:hint="eastAsia" w:ascii="宋体" w:hAnsi="宋体" w:cs="宋体"/>
          <w:b/>
          <w:sz w:val="30"/>
          <w:szCs w:val="30"/>
        </w:rPr>
        <w:t>法人代表或授权委托人（签字） ：</w:t>
      </w:r>
      <w:r>
        <w:rPr>
          <w:rFonts w:hint="eastAsia" w:ascii="宋体" w:hAnsi="宋体" w:cs="宋体"/>
          <w:b/>
          <w:sz w:val="30"/>
          <w:szCs w:val="30"/>
          <w:u w:val="single"/>
        </w:rPr>
        <w:t xml:space="preserve">           </w:t>
      </w:r>
    </w:p>
    <w:p>
      <w:pPr>
        <w:spacing w:line="480" w:lineRule="auto"/>
        <w:ind w:firstLine="1355" w:firstLineChars="450"/>
        <w:rPr>
          <w:rFonts w:ascii="宋体" w:hAnsi="宋体" w:cs="宋体"/>
        </w:rPr>
      </w:pPr>
      <w:r>
        <w:rPr>
          <w:rFonts w:hint="eastAsia" w:ascii="宋体" w:hAnsi="宋体" w:cs="宋体"/>
          <w:b/>
          <w:sz w:val="30"/>
          <w:szCs w:val="30"/>
        </w:rPr>
        <w:t>投标日期：</w:t>
      </w:r>
      <w:r>
        <w:rPr>
          <w:rFonts w:hint="eastAsia" w:ascii="宋体" w:hAnsi="宋体" w:cs="宋体"/>
        </w:rPr>
        <w:br w:type="page"/>
      </w:r>
    </w:p>
    <w:p>
      <w:pPr>
        <w:pStyle w:val="5"/>
        <w:spacing w:line="400" w:lineRule="exact"/>
        <w:jc w:val="center"/>
        <w:rPr>
          <w:rFonts w:ascii="宋体" w:hAnsi="宋体" w:eastAsia="宋体" w:cs="宋体"/>
          <w:sz w:val="28"/>
          <w:szCs w:val="28"/>
        </w:rPr>
      </w:pPr>
      <w:bookmarkStart w:id="155" w:name="_Toc12589"/>
      <w:bookmarkStart w:id="156" w:name="_Toc5353"/>
      <w:bookmarkStart w:id="157" w:name="_Toc365468165"/>
      <w:bookmarkStart w:id="158" w:name="_Toc454373568"/>
      <w:r>
        <w:rPr>
          <w:rFonts w:hint="eastAsia" w:ascii="宋体" w:hAnsi="宋体" w:eastAsia="宋体" w:cs="宋体"/>
          <w:sz w:val="28"/>
          <w:szCs w:val="28"/>
        </w:rPr>
        <w:t>一、投 标 函</w:t>
      </w:r>
      <w:bookmarkEnd w:id="155"/>
      <w:bookmarkEnd w:id="156"/>
      <w:bookmarkEnd w:id="157"/>
      <w:bookmarkEnd w:id="158"/>
    </w:p>
    <w:p>
      <w:pPr>
        <w:pStyle w:val="10"/>
        <w:spacing w:line="240" w:lineRule="auto"/>
        <w:rPr>
          <w:rFonts w:ascii="宋体" w:hAnsi="宋体" w:cs="宋体"/>
          <w:bCs/>
          <w:sz w:val="24"/>
        </w:rPr>
      </w:pPr>
      <w:r>
        <w:rPr>
          <w:rFonts w:hint="eastAsia" w:ascii="宋体" w:hAnsi="宋体" w:cs="宋体"/>
          <w:bCs/>
          <w:sz w:val="24"/>
          <w:u w:val="single"/>
        </w:rPr>
        <w:t xml:space="preserve">                 </w:t>
      </w:r>
      <w:r>
        <w:rPr>
          <w:rFonts w:hint="eastAsia" w:ascii="宋体" w:hAnsi="宋体" w:cs="宋体"/>
          <w:bCs/>
          <w:sz w:val="24"/>
        </w:rPr>
        <w:t>（采购人名称）：</w:t>
      </w:r>
    </w:p>
    <w:p>
      <w:pPr>
        <w:pStyle w:val="10"/>
        <w:spacing w:line="240" w:lineRule="auto"/>
        <w:ind w:firstLine="480" w:firstLineChars="200"/>
        <w:rPr>
          <w:rFonts w:ascii="宋体" w:hAnsi="宋体" w:cs="宋体"/>
          <w:bCs/>
          <w:sz w:val="24"/>
        </w:rPr>
      </w:pPr>
      <w:r>
        <w:rPr>
          <w:rFonts w:hint="eastAsia" w:ascii="宋体" w:hAnsi="宋体" w:cs="宋体"/>
          <w:bCs/>
          <w:sz w:val="24"/>
        </w:rPr>
        <w:t>我方全面研究了“</w:t>
      </w:r>
      <w:r>
        <w:rPr>
          <w:rFonts w:hint="eastAsia" w:ascii="宋体" w:hAnsi="宋体" w:cs="宋体"/>
          <w:bCs/>
          <w:sz w:val="24"/>
          <w:u w:val="single"/>
        </w:rPr>
        <w:t xml:space="preserve">               </w:t>
      </w:r>
      <w:r>
        <w:rPr>
          <w:rFonts w:hint="eastAsia" w:ascii="宋体" w:hAnsi="宋体" w:cs="宋体"/>
          <w:bCs/>
          <w:sz w:val="24"/>
        </w:rPr>
        <w:t>项目”招标文件（招标编号：</w:t>
      </w:r>
      <w:r>
        <w:rPr>
          <w:rFonts w:hint="eastAsia" w:ascii="宋体" w:hAnsi="宋体" w:cs="宋体"/>
          <w:bCs/>
          <w:sz w:val="24"/>
          <w:u w:val="single"/>
        </w:rPr>
        <w:t xml:space="preserve">    </w:t>
      </w:r>
      <w:r>
        <w:rPr>
          <w:rFonts w:hint="eastAsia" w:ascii="宋体" w:hAnsi="宋体" w:cs="宋体"/>
          <w:bCs/>
          <w:sz w:val="24"/>
        </w:rPr>
        <w:t>），决定参加贵单位组织的本项目投标。我方授权</w:t>
      </w:r>
      <w:r>
        <w:rPr>
          <w:rFonts w:hint="eastAsia" w:ascii="宋体" w:hAnsi="宋体" w:cs="宋体"/>
          <w:bCs/>
          <w:sz w:val="24"/>
          <w:u w:val="single"/>
        </w:rPr>
        <w:t xml:space="preserve">                  </w:t>
      </w:r>
      <w:r>
        <w:rPr>
          <w:rFonts w:hint="eastAsia" w:ascii="宋体" w:hAnsi="宋体" w:cs="宋体"/>
          <w:bCs/>
          <w:sz w:val="24"/>
        </w:rPr>
        <w:t>（姓名、职务）代表我方</w:t>
      </w:r>
      <w:r>
        <w:rPr>
          <w:rFonts w:hint="eastAsia" w:ascii="宋体" w:hAnsi="宋体" w:cs="宋体"/>
          <w:bCs/>
          <w:sz w:val="24"/>
          <w:u w:val="single"/>
        </w:rPr>
        <w:t xml:space="preserve">                        （投标单位的名称）</w:t>
      </w:r>
      <w:r>
        <w:rPr>
          <w:rFonts w:hint="eastAsia" w:ascii="宋体" w:hAnsi="宋体" w:cs="宋体"/>
          <w:bCs/>
          <w:sz w:val="24"/>
        </w:rPr>
        <w:t>全权处理本项目投标的有关事宜。</w:t>
      </w:r>
    </w:p>
    <w:p>
      <w:pPr>
        <w:pStyle w:val="10"/>
        <w:spacing w:line="240" w:lineRule="auto"/>
        <w:ind w:firstLine="480" w:firstLineChars="200"/>
        <w:rPr>
          <w:rFonts w:ascii="宋体" w:hAnsi="宋体" w:cs="宋体"/>
          <w:bCs/>
          <w:sz w:val="24"/>
        </w:rPr>
      </w:pPr>
      <w:r>
        <w:rPr>
          <w:rFonts w:hint="eastAsia" w:ascii="宋体" w:hAnsi="宋体" w:cs="宋体"/>
          <w:bCs/>
          <w:sz w:val="24"/>
        </w:rPr>
        <w:t>1、我方自愿按照招标文件规定的各项要求向采购人提供所需货物，总投标报价为人民币</w:t>
      </w:r>
      <w:r>
        <w:rPr>
          <w:rFonts w:hint="eastAsia" w:ascii="宋体" w:hAnsi="宋体" w:cs="宋体"/>
          <w:bCs/>
          <w:sz w:val="24"/>
          <w:u w:val="single"/>
        </w:rPr>
        <w:t xml:space="preserve">            </w:t>
      </w:r>
      <w:r>
        <w:rPr>
          <w:rFonts w:hint="eastAsia" w:ascii="宋体" w:hAnsi="宋体" w:cs="宋体"/>
          <w:bCs/>
          <w:sz w:val="24"/>
        </w:rPr>
        <w:t>元（大写：</w:t>
      </w:r>
      <w:r>
        <w:rPr>
          <w:rFonts w:hint="eastAsia" w:ascii="宋体" w:hAnsi="宋体" w:cs="宋体"/>
          <w:bCs/>
          <w:sz w:val="24"/>
          <w:u w:val="single"/>
        </w:rPr>
        <w:t xml:space="preserve">                           </w:t>
      </w:r>
      <w:r>
        <w:rPr>
          <w:rFonts w:hint="eastAsia" w:ascii="宋体" w:hAnsi="宋体" w:cs="宋体"/>
          <w:bCs/>
          <w:sz w:val="24"/>
        </w:rPr>
        <w:t>），并承诺签订合同后按招标文件要求完成供货。</w:t>
      </w:r>
    </w:p>
    <w:p>
      <w:pPr>
        <w:pStyle w:val="10"/>
        <w:spacing w:line="240" w:lineRule="auto"/>
        <w:ind w:firstLine="480" w:firstLineChars="200"/>
        <w:rPr>
          <w:rFonts w:ascii="宋体" w:hAnsi="宋体" w:cs="宋体"/>
          <w:bCs/>
          <w:sz w:val="24"/>
        </w:rPr>
      </w:pPr>
      <w:r>
        <w:rPr>
          <w:rFonts w:hint="eastAsia" w:ascii="宋体" w:hAnsi="宋体" w:cs="宋体"/>
          <w:bCs/>
          <w:sz w:val="24"/>
        </w:rPr>
        <w:t>2、一旦我方中标，我方将严格履行合同规定的责任和义务；</w:t>
      </w:r>
    </w:p>
    <w:p>
      <w:pPr>
        <w:pStyle w:val="10"/>
        <w:spacing w:line="240" w:lineRule="auto"/>
        <w:ind w:firstLine="480" w:firstLineChars="200"/>
        <w:rPr>
          <w:rFonts w:ascii="宋体" w:hAnsi="宋体" w:cs="宋体"/>
          <w:bCs/>
          <w:sz w:val="24"/>
        </w:rPr>
      </w:pPr>
      <w:r>
        <w:rPr>
          <w:rFonts w:hint="eastAsia" w:ascii="宋体" w:hAnsi="宋体" w:cs="宋体"/>
          <w:bCs/>
          <w:sz w:val="24"/>
        </w:rPr>
        <w:t>3、我方为本项目提交的投标文件正本1份，副本</w:t>
      </w:r>
      <w:r>
        <w:rPr>
          <w:rFonts w:hint="default" w:ascii="宋体" w:hAnsi="宋体" w:cs="宋体"/>
          <w:sz w:val="24"/>
        </w:rPr>
        <w:t>1</w:t>
      </w:r>
      <w:r>
        <w:rPr>
          <w:rFonts w:hint="eastAsia" w:ascii="宋体" w:hAnsi="宋体" w:cs="宋体"/>
          <w:bCs/>
          <w:sz w:val="24"/>
        </w:rPr>
        <w:t>份，用于开标唱标的“开标一览表”1份。</w:t>
      </w:r>
    </w:p>
    <w:p>
      <w:pPr>
        <w:pStyle w:val="10"/>
        <w:spacing w:line="240" w:lineRule="auto"/>
        <w:ind w:firstLine="480" w:firstLineChars="200"/>
        <w:rPr>
          <w:rFonts w:ascii="宋体" w:hAnsi="宋体" w:cs="宋体"/>
          <w:bCs/>
          <w:sz w:val="24"/>
        </w:rPr>
      </w:pPr>
      <w:r>
        <w:rPr>
          <w:rFonts w:hint="default" w:ascii="宋体" w:hAnsi="宋体" w:cs="宋体"/>
          <w:bCs/>
          <w:sz w:val="24"/>
        </w:rPr>
        <w:t>4</w:t>
      </w:r>
      <w:r>
        <w:rPr>
          <w:rFonts w:hint="eastAsia" w:ascii="宋体" w:hAnsi="宋体" w:cs="宋体"/>
          <w:bCs/>
          <w:sz w:val="24"/>
        </w:rPr>
        <w:t>、我方承诺投标有效期为开标后</w:t>
      </w:r>
      <w:r>
        <w:rPr>
          <w:rFonts w:hint="eastAsia" w:ascii="宋体" w:hAnsi="宋体" w:cs="宋体"/>
          <w:bCs/>
          <w:sz w:val="24"/>
          <w:u w:val="single"/>
        </w:rPr>
        <w:t xml:space="preserve">    </w:t>
      </w:r>
      <w:r>
        <w:rPr>
          <w:rFonts w:hint="eastAsia" w:ascii="宋体" w:hAnsi="宋体" w:cs="宋体"/>
          <w:bCs/>
          <w:sz w:val="24"/>
        </w:rPr>
        <w:t>天（日历天）。</w:t>
      </w:r>
    </w:p>
    <w:p>
      <w:pPr>
        <w:pStyle w:val="10"/>
        <w:spacing w:line="240" w:lineRule="auto"/>
        <w:ind w:firstLine="480" w:firstLineChars="200"/>
        <w:rPr>
          <w:rFonts w:ascii="宋体" w:hAnsi="宋体" w:cs="宋体"/>
          <w:bCs/>
          <w:sz w:val="24"/>
        </w:rPr>
      </w:pPr>
      <w:r>
        <w:rPr>
          <w:rFonts w:hint="default" w:ascii="宋体" w:hAnsi="宋体" w:cs="宋体"/>
          <w:bCs/>
          <w:sz w:val="24"/>
        </w:rPr>
        <w:t>5</w:t>
      </w:r>
      <w:r>
        <w:rPr>
          <w:rFonts w:hint="eastAsia" w:ascii="宋体" w:hAnsi="宋体" w:cs="宋体"/>
          <w:bCs/>
          <w:sz w:val="24"/>
        </w:rPr>
        <w:t>、我方愿意提供贵</w:t>
      </w:r>
      <w:r>
        <w:rPr>
          <w:rFonts w:hint="default" w:ascii="宋体" w:hAnsi="宋体" w:cs="宋体"/>
          <w:bCs/>
          <w:sz w:val="24"/>
        </w:rPr>
        <w:t>单位</w:t>
      </w:r>
      <w:r>
        <w:rPr>
          <w:rFonts w:hint="eastAsia" w:ascii="宋体" w:hAnsi="宋体" w:cs="宋体"/>
          <w:bCs/>
          <w:sz w:val="24"/>
        </w:rPr>
        <w:t>可能另外要求的，与投标有关的文件资料，并保证我方已提供和将要提供的文件资料是真实、准确的。</w:t>
      </w:r>
    </w:p>
    <w:p>
      <w:pPr>
        <w:pStyle w:val="10"/>
        <w:spacing w:line="240" w:lineRule="auto"/>
        <w:ind w:firstLine="480" w:firstLineChars="200"/>
        <w:rPr>
          <w:rFonts w:hint="eastAsia" w:ascii="宋体" w:hAnsi="宋体" w:cs="宋体"/>
          <w:bCs/>
          <w:sz w:val="24"/>
        </w:rPr>
      </w:pPr>
    </w:p>
    <w:p>
      <w:pPr>
        <w:pStyle w:val="10"/>
        <w:spacing w:line="240" w:lineRule="auto"/>
        <w:ind w:firstLine="480" w:firstLineChars="200"/>
        <w:rPr>
          <w:rFonts w:hint="eastAsia" w:ascii="宋体" w:hAnsi="宋体" w:cs="宋体"/>
          <w:bCs/>
          <w:sz w:val="24"/>
        </w:rPr>
      </w:pPr>
    </w:p>
    <w:p>
      <w:pPr>
        <w:pStyle w:val="10"/>
        <w:spacing w:line="240" w:lineRule="auto"/>
        <w:ind w:firstLine="480" w:firstLineChars="200"/>
        <w:rPr>
          <w:rFonts w:ascii="宋体" w:hAnsi="宋体" w:cs="宋体"/>
          <w:bCs/>
          <w:sz w:val="24"/>
        </w:rPr>
      </w:pPr>
      <w:r>
        <w:rPr>
          <w:rFonts w:hint="eastAsia" w:ascii="宋体" w:hAnsi="宋体" w:cs="宋体"/>
          <w:bCs/>
          <w:sz w:val="24"/>
        </w:rPr>
        <w:t>投标人名称：        （盖章）</w:t>
      </w:r>
    </w:p>
    <w:p>
      <w:pPr>
        <w:pStyle w:val="10"/>
        <w:spacing w:line="240" w:lineRule="auto"/>
        <w:ind w:firstLine="480" w:firstLineChars="200"/>
        <w:rPr>
          <w:rFonts w:ascii="宋体" w:hAnsi="宋体" w:cs="宋体"/>
          <w:bCs/>
          <w:sz w:val="24"/>
        </w:rPr>
      </w:pPr>
      <w:r>
        <w:rPr>
          <w:rFonts w:hint="eastAsia" w:ascii="宋体" w:hAnsi="宋体" w:cs="宋体"/>
          <w:bCs/>
          <w:sz w:val="24"/>
        </w:rPr>
        <w:t>法定代表人或授权代表（签字）：</w:t>
      </w:r>
    </w:p>
    <w:p>
      <w:pPr>
        <w:pStyle w:val="10"/>
        <w:spacing w:line="240" w:lineRule="auto"/>
        <w:ind w:firstLine="480" w:firstLineChars="200"/>
        <w:rPr>
          <w:rFonts w:ascii="宋体" w:hAnsi="宋体" w:cs="宋体"/>
          <w:bCs/>
          <w:sz w:val="24"/>
        </w:rPr>
      </w:pPr>
      <w:r>
        <w:rPr>
          <w:rFonts w:hint="eastAsia" w:ascii="宋体" w:hAnsi="宋体" w:cs="宋体"/>
          <w:bCs/>
          <w:sz w:val="24"/>
        </w:rPr>
        <w:t>通讯地址：</w:t>
      </w:r>
    </w:p>
    <w:p>
      <w:pPr>
        <w:pStyle w:val="10"/>
        <w:spacing w:line="240" w:lineRule="auto"/>
        <w:ind w:firstLine="480" w:firstLineChars="200"/>
        <w:rPr>
          <w:rFonts w:ascii="宋体" w:hAnsi="宋体" w:cs="宋体"/>
          <w:bCs/>
          <w:sz w:val="24"/>
        </w:rPr>
      </w:pPr>
      <w:r>
        <w:rPr>
          <w:rFonts w:hint="eastAsia" w:ascii="宋体" w:hAnsi="宋体" w:cs="宋体"/>
          <w:bCs/>
          <w:sz w:val="24"/>
        </w:rPr>
        <w:t>邮政编码：</w:t>
      </w:r>
    </w:p>
    <w:p>
      <w:pPr>
        <w:pStyle w:val="10"/>
        <w:spacing w:line="240" w:lineRule="auto"/>
        <w:ind w:firstLine="480" w:firstLineChars="200"/>
        <w:rPr>
          <w:rFonts w:ascii="宋体" w:hAnsi="宋体" w:cs="宋体"/>
          <w:bCs/>
          <w:sz w:val="24"/>
        </w:rPr>
      </w:pPr>
      <w:r>
        <w:rPr>
          <w:rFonts w:hint="eastAsia" w:ascii="宋体" w:hAnsi="宋体" w:cs="宋体"/>
          <w:bCs/>
          <w:sz w:val="24"/>
        </w:rPr>
        <w:t>联系电话：</w:t>
      </w:r>
    </w:p>
    <w:p>
      <w:pPr>
        <w:pStyle w:val="10"/>
        <w:spacing w:line="240" w:lineRule="auto"/>
        <w:ind w:firstLine="480" w:firstLineChars="200"/>
        <w:rPr>
          <w:rFonts w:ascii="宋体" w:hAnsi="宋体" w:cs="宋体"/>
          <w:bCs/>
          <w:sz w:val="24"/>
        </w:rPr>
      </w:pPr>
      <w:r>
        <w:rPr>
          <w:rFonts w:hint="eastAsia" w:ascii="宋体" w:hAnsi="宋体" w:cs="宋体"/>
          <w:bCs/>
          <w:sz w:val="24"/>
        </w:rPr>
        <w:t>传    真：</w:t>
      </w:r>
    </w:p>
    <w:p>
      <w:pPr>
        <w:pStyle w:val="10"/>
        <w:spacing w:line="240" w:lineRule="auto"/>
        <w:ind w:firstLine="480" w:firstLineChars="200"/>
        <w:rPr>
          <w:rFonts w:ascii="宋体" w:hAnsi="宋体" w:cs="宋体"/>
          <w:bCs/>
          <w:sz w:val="24"/>
        </w:rPr>
      </w:pPr>
      <w:r>
        <w:rPr>
          <w:rFonts w:hint="eastAsia" w:ascii="宋体" w:hAnsi="宋体" w:cs="宋体"/>
          <w:bCs/>
          <w:sz w:val="24"/>
        </w:rPr>
        <w:t>日    期：</w:t>
      </w:r>
    </w:p>
    <w:p>
      <w:pPr>
        <w:pStyle w:val="10"/>
        <w:spacing w:line="240" w:lineRule="auto"/>
        <w:ind w:firstLine="480" w:firstLineChars="200"/>
        <w:rPr>
          <w:rFonts w:ascii="宋体" w:hAnsi="宋体" w:cs="宋体"/>
          <w:bCs/>
          <w:sz w:val="24"/>
        </w:rPr>
      </w:pPr>
    </w:p>
    <w:p>
      <w:pPr>
        <w:pStyle w:val="10"/>
        <w:spacing w:line="240" w:lineRule="auto"/>
        <w:ind w:firstLine="480" w:firstLineChars="200"/>
        <w:rPr>
          <w:rFonts w:ascii="宋体" w:hAnsi="宋体" w:cs="宋体"/>
          <w:bCs/>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10"/>
        <w:spacing w:line="240" w:lineRule="auto"/>
        <w:ind w:firstLine="480" w:firstLineChars="200"/>
        <w:rPr>
          <w:rFonts w:ascii="宋体" w:hAnsi="宋体" w:cs="宋体"/>
          <w:sz w:val="24"/>
        </w:rPr>
      </w:pPr>
    </w:p>
    <w:p>
      <w:pPr>
        <w:pStyle w:val="5"/>
        <w:spacing w:line="400" w:lineRule="exact"/>
        <w:jc w:val="center"/>
        <w:rPr>
          <w:rFonts w:ascii="宋体" w:hAnsi="宋体" w:eastAsia="宋体" w:cs="宋体"/>
          <w:sz w:val="24"/>
          <w:szCs w:val="24"/>
        </w:rPr>
      </w:pPr>
      <w:bookmarkStart w:id="159" w:name="_Toc934"/>
      <w:bookmarkStart w:id="160" w:name="_Toc454373569"/>
      <w:bookmarkStart w:id="161" w:name="_Toc28869"/>
      <w:bookmarkStart w:id="162" w:name="_Toc365468166"/>
      <w:r>
        <w:rPr>
          <w:rFonts w:hint="eastAsia" w:ascii="宋体" w:hAnsi="宋体" w:eastAsia="宋体" w:cs="宋体"/>
          <w:sz w:val="24"/>
          <w:szCs w:val="24"/>
        </w:rPr>
        <w:t>二、法定代表人身份证明书</w:t>
      </w:r>
      <w:bookmarkEnd w:id="159"/>
      <w:bookmarkEnd w:id="160"/>
      <w:bookmarkEnd w:id="161"/>
      <w:bookmarkEnd w:id="162"/>
    </w:p>
    <w:p>
      <w:pPr>
        <w:rPr>
          <w:rFonts w:ascii="宋体" w:hAnsi="宋体" w:cs="宋体"/>
        </w:rPr>
      </w:pP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（姓名、职务、身份证号），系我公司法定代表人，特此证明。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5280" w:firstLineChars="2200"/>
        <w:rPr>
          <w:rFonts w:ascii="宋体" w:hAnsi="宋体" w:cs="宋体"/>
          <w:sz w:val="24"/>
        </w:rPr>
      </w:pPr>
      <w:r>
        <w:rPr>
          <w:rFonts w:hint="eastAsia" w:ascii="宋体" w:hAnsi="宋体" w:cs="宋体"/>
          <w:sz w:val="24"/>
        </w:rPr>
        <w:t>单位（盖章）</w:t>
      </w:r>
    </w:p>
    <w:p>
      <w:pPr>
        <w:spacing w:line="400" w:lineRule="exact"/>
        <w:ind w:firstLine="5640" w:firstLineChars="2350"/>
        <w:rPr>
          <w:rFonts w:ascii="宋体" w:hAnsi="宋体" w:cs="宋体"/>
          <w:sz w:val="24"/>
        </w:rPr>
      </w:pPr>
      <w:r>
        <w:rPr>
          <w:rFonts w:hint="eastAsia" w:ascii="宋体" w:hAnsi="宋体" w:cs="宋体"/>
          <w:sz w:val="24"/>
        </w:rPr>
        <w:t>日    期：</w:t>
      </w:r>
    </w:p>
    <w:p>
      <w:pPr>
        <w:rPr>
          <w:rFonts w:ascii="宋体" w:hAnsi="宋体" w:cs="宋体"/>
        </w:rPr>
      </w:pPr>
    </w:p>
    <w:p>
      <w:pPr>
        <w:rPr>
          <w:rFonts w:ascii="宋体" w:hAnsi="宋体" w:cs="宋体"/>
        </w:rPr>
      </w:pPr>
      <w:r>
        <w:rPr>
          <w:rFonts w:hint="eastAsia" w:ascii="宋体" w:hAnsi="宋体" w:cs="宋体"/>
          <w:b/>
          <w:sz w:val="24"/>
        </w:rPr>
        <w:t>附：</w:t>
      </w:r>
      <w:r>
        <w:rPr>
          <w:rFonts w:hint="eastAsia" w:ascii="宋体" w:hAnsi="宋体" w:cs="宋体"/>
          <w:sz w:val="24"/>
        </w:rPr>
        <w:t>法定代表人身份证复印件（加盖公章）</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16"/>
        <w:ind w:firstLine="340"/>
        <w:rPr>
          <w:rFonts w:ascii="宋体" w:hAnsi="宋体" w:cs="宋体"/>
        </w:rPr>
      </w:pPr>
    </w:p>
    <w:p>
      <w:pPr>
        <w:pStyle w:val="16"/>
        <w:ind w:firstLine="340"/>
        <w:rPr>
          <w:rFonts w:ascii="宋体" w:hAnsi="宋体" w:cs="宋体"/>
        </w:rPr>
      </w:pPr>
    </w:p>
    <w:p>
      <w:pPr>
        <w:rPr>
          <w:rFonts w:ascii="宋体" w:hAnsi="宋体" w:cs="宋体"/>
        </w:rPr>
      </w:pPr>
    </w:p>
    <w:p>
      <w:pPr>
        <w:rPr>
          <w:rFonts w:ascii="宋体" w:hAnsi="宋体" w:cs="宋体"/>
        </w:rPr>
      </w:pPr>
    </w:p>
    <w:p>
      <w:pPr>
        <w:pStyle w:val="5"/>
        <w:spacing w:line="400" w:lineRule="exact"/>
        <w:outlineLvl w:val="9"/>
        <w:rPr>
          <w:rFonts w:ascii="宋体" w:hAnsi="宋体" w:eastAsia="宋体" w:cs="宋体"/>
          <w:sz w:val="24"/>
          <w:szCs w:val="24"/>
        </w:rPr>
      </w:pPr>
      <w:bookmarkStart w:id="163" w:name="_Toc365468167"/>
      <w:bookmarkStart w:id="164" w:name="_Toc17143"/>
      <w:bookmarkStart w:id="165" w:name="_Toc454373570"/>
      <w:bookmarkStart w:id="166" w:name="_Toc10260"/>
    </w:p>
    <w:p/>
    <w:p>
      <w:pPr>
        <w:pStyle w:val="5"/>
        <w:spacing w:line="400" w:lineRule="exact"/>
        <w:jc w:val="center"/>
        <w:rPr>
          <w:rFonts w:ascii="宋体" w:hAnsi="宋体" w:cs="宋体"/>
          <w:sz w:val="24"/>
        </w:rPr>
      </w:pPr>
      <w:r>
        <w:rPr>
          <w:rFonts w:hint="eastAsia" w:ascii="宋体" w:hAnsi="宋体" w:eastAsia="宋体" w:cs="宋体"/>
          <w:sz w:val="24"/>
          <w:szCs w:val="24"/>
        </w:rPr>
        <w:t>三、法定代表人授权书</w:t>
      </w:r>
      <w:bookmarkEnd w:id="163"/>
      <w:bookmarkEnd w:id="164"/>
      <w:bookmarkEnd w:id="165"/>
      <w:bookmarkEnd w:id="166"/>
    </w:p>
    <w:p>
      <w:pPr>
        <w:spacing w:line="4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（采购人名称）：</w:t>
      </w:r>
    </w:p>
    <w:p>
      <w:pPr>
        <w:spacing w:line="400" w:lineRule="exact"/>
        <w:ind w:firstLine="480" w:firstLineChars="200"/>
        <w:rPr>
          <w:rFonts w:ascii="宋体" w:hAnsi="宋体" w:cs="宋体"/>
          <w:sz w:val="24"/>
        </w:rPr>
      </w:pPr>
      <w:r>
        <w:rPr>
          <w:rFonts w:hint="eastAsia" w:ascii="宋体" w:hAnsi="宋体" w:cs="宋体"/>
          <w:sz w:val="24"/>
        </w:rPr>
        <w:t>本授权声明：</w:t>
      </w:r>
      <w:r>
        <w:rPr>
          <w:rFonts w:hint="eastAsia" w:ascii="宋体" w:hAnsi="宋体" w:cs="宋体"/>
          <w:sz w:val="24"/>
          <w:u w:val="single"/>
        </w:rPr>
        <w:t xml:space="preserve">                     </w:t>
      </w: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（法定代表人姓名、职务、身份证号）授权</w:t>
      </w:r>
      <w:r>
        <w:rPr>
          <w:rFonts w:hint="eastAsia" w:ascii="宋体" w:hAnsi="宋体" w:cs="宋体"/>
          <w:sz w:val="24"/>
          <w:u w:val="single"/>
        </w:rPr>
        <w:t xml:space="preserve">                        </w:t>
      </w:r>
      <w:r>
        <w:rPr>
          <w:rFonts w:hint="eastAsia" w:ascii="宋体" w:hAnsi="宋体" w:cs="宋体"/>
          <w:sz w:val="24"/>
        </w:rPr>
        <w:t xml:space="preserve">（被授权人姓名、职务、身份证号）为我方 “ </w:t>
      </w:r>
      <w:r>
        <w:rPr>
          <w:rFonts w:hint="eastAsia" w:ascii="宋体" w:hAnsi="宋体" w:cs="宋体"/>
          <w:sz w:val="24"/>
          <w:u w:val="single"/>
        </w:rPr>
        <w:t xml:space="preserve">             </w:t>
      </w:r>
      <w:r>
        <w:rPr>
          <w:rFonts w:hint="eastAsia" w:ascii="宋体" w:hAnsi="宋体" w:cs="宋体"/>
          <w:sz w:val="24"/>
        </w:rPr>
        <w:t>” 项目（招标编号：</w:t>
      </w:r>
      <w:r>
        <w:rPr>
          <w:rFonts w:hint="eastAsia" w:ascii="宋体" w:hAnsi="宋体" w:cs="宋体"/>
          <w:sz w:val="24"/>
          <w:u w:val="single"/>
        </w:rPr>
        <w:t xml:space="preserve">     </w:t>
      </w:r>
      <w:r>
        <w:rPr>
          <w:rFonts w:hint="eastAsia" w:ascii="宋体" w:hAnsi="宋体" w:cs="宋体"/>
          <w:sz w:val="24"/>
        </w:rPr>
        <w:t>）投标活动的合法代表，以我方名义全权处理该项目有关投标、签订合同以及执行合同等一切事宜。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法定代表人签字：</w:t>
      </w:r>
    </w:p>
    <w:p>
      <w:pPr>
        <w:spacing w:line="400" w:lineRule="exact"/>
        <w:ind w:firstLine="480" w:firstLineChars="200"/>
        <w:rPr>
          <w:rFonts w:ascii="宋体" w:hAnsi="宋体" w:cs="宋体"/>
          <w:sz w:val="24"/>
        </w:rPr>
      </w:pPr>
      <w:r>
        <w:rPr>
          <w:rFonts w:hint="eastAsia" w:ascii="宋体" w:hAnsi="宋体" w:cs="宋体"/>
          <w:sz w:val="24"/>
        </w:rPr>
        <w:t>授权代表签字：</w:t>
      </w:r>
    </w:p>
    <w:p>
      <w:pPr>
        <w:spacing w:line="400" w:lineRule="exact"/>
        <w:ind w:firstLine="480" w:firstLineChars="200"/>
        <w:rPr>
          <w:rFonts w:ascii="宋体" w:hAnsi="宋体" w:cs="宋体"/>
          <w:sz w:val="24"/>
        </w:rPr>
      </w:pPr>
      <w:r>
        <w:rPr>
          <w:rFonts w:hint="eastAsia" w:ascii="宋体" w:hAnsi="宋体" w:cs="宋体"/>
          <w:sz w:val="24"/>
        </w:rPr>
        <w:t>投标人名称：         （盖章）</w:t>
      </w:r>
    </w:p>
    <w:p>
      <w:pPr>
        <w:spacing w:line="400" w:lineRule="exact"/>
        <w:ind w:firstLine="480" w:firstLineChars="200"/>
        <w:rPr>
          <w:rFonts w:ascii="宋体" w:hAnsi="宋体" w:cs="宋体"/>
          <w:sz w:val="24"/>
        </w:rPr>
      </w:pPr>
      <w:r>
        <w:rPr>
          <w:rFonts w:hint="eastAsia" w:ascii="宋体" w:hAnsi="宋体" w:cs="宋体"/>
          <w:sz w:val="24"/>
        </w:rPr>
        <w:t>日    期：</w:t>
      </w:r>
    </w:p>
    <w:p>
      <w:pPr>
        <w:spacing w:line="400" w:lineRule="exact"/>
        <w:rPr>
          <w:rFonts w:ascii="宋体" w:hAnsi="宋体" w:cs="宋体"/>
          <w:sz w:val="24"/>
        </w:rPr>
      </w:pPr>
    </w:p>
    <w:p>
      <w:pPr>
        <w:spacing w:line="400" w:lineRule="exact"/>
        <w:rPr>
          <w:rFonts w:ascii="宋体" w:hAnsi="宋体" w:cs="宋体"/>
          <w:b/>
          <w:sz w:val="24"/>
        </w:rPr>
      </w:pPr>
      <w:r>
        <w:rPr>
          <w:rFonts w:hint="eastAsia" w:ascii="宋体" w:hAnsi="宋体" w:cs="宋体"/>
          <w:sz w:val="24"/>
        </w:rPr>
        <w:t xml:space="preserve">   </w:t>
      </w:r>
      <w:r>
        <w:rPr>
          <w:rFonts w:hint="eastAsia" w:ascii="宋体" w:hAnsi="宋体" w:cs="宋体"/>
          <w:b/>
          <w:sz w:val="24"/>
        </w:rPr>
        <w:t>附：</w:t>
      </w:r>
      <w:r>
        <w:rPr>
          <w:rFonts w:hint="eastAsia" w:ascii="宋体" w:hAnsi="宋体" w:cs="宋体"/>
          <w:sz w:val="24"/>
        </w:rPr>
        <w:t>授权代表身份证复印件（加盖公章）</w:t>
      </w: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pStyle w:val="16"/>
        <w:ind w:firstLine="340"/>
        <w:rPr>
          <w:rFonts w:ascii="宋体" w:hAnsi="宋体" w:cs="宋体"/>
        </w:rPr>
      </w:pPr>
    </w:p>
    <w:p>
      <w:pPr>
        <w:spacing w:line="400" w:lineRule="exact"/>
        <w:rPr>
          <w:rFonts w:ascii="宋体" w:hAnsi="宋体" w:cs="宋体"/>
          <w:sz w:val="24"/>
        </w:rPr>
      </w:pPr>
      <w:r>
        <w:rPr>
          <w:rFonts w:hint="eastAsia" w:ascii="宋体" w:hAnsi="宋体" w:cs="宋体"/>
        </w:rPr>
        <w:t xml:space="preserve">   </w:t>
      </w:r>
      <w:bookmarkStart w:id="167" w:name="_Toc217446085"/>
    </w:p>
    <w:p>
      <w:pPr>
        <w:pStyle w:val="5"/>
        <w:spacing w:line="400" w:lineRule="exact"/>
        <w:jc w:val="center"/>
        <w:rPr>
          <w:rFonts w:ascii="宋体" w:hAnsi="宋体" w:eastAsia="宋体" w:cs="宋体"/>
          <w:sz w:val="24"/>
          <w:szCs w:val="24"/>
        </w:rPr>
      </w:pPr>
      <w:bookmarkStart w:id="168" w:name="_Toc454373571"/>
      <w:bookmarkStart w:id="169" w:name="_Toc26255"/>
      <w:bookmarkStart w:id="170" w:name="_Toc365468168"/>
      <w:bookmarkStart w:id="171" w:name="_Toc30496"/>
      <w:r>
        <w:rPr>
          <w:rFonts w:hint="eastAsia" w:ascii="宋体" w:hAnsi="宋体" w:eastAsia="宋体" w:cs="宋体"/>
          <w:sz w:val="24"/>
          <w:szCs w:val="24"/>
        </w:rPr>
        <w:t>四、投标承诺书</w:t>
      </w:r>
      <w:bookmarkEnd w:id="168"/>
      <w:bookmarkEnd w:id="169"/>
      <w:bookmarkEnd w:id="170"/>
      <w:bookmarkEnd w:id="171"/>
    </w:p>
    <w:p>
      <w:pPr>
        <w:spacing w:before="120" w:beforeLines="50" w:after="120" w:afterLines="50" w:line="360" w:lineRule="auto"/>
        <w:rPr>
          <w:rFonts w:hint="default" w:ascii="宋体" w:hAnsi="宋体" w:cs="宋体"/>
          <w:sz w:val="24"/>
          <w:u w:val="none"/>
        </w:rPr>
      </w:pPr>
      <w:r>
        <w:rPr>
          <w:rFonts w:hint="eastAsia" w:ascii="宋体" w:hAnsi="宋体" w:cs="宋体"/>
          <w:sz w:val="24"/>
        </w:rPr>
        <w:t>致：</w:t>
      </w:r>
      <w:r>
        <w:rPr>
          <w:rFonts w:hint="default" w:ascii="宋体" w:hAnsi="宋体" w:cs="宋体"/>
          <w:sz w:val="24"/>
          <w:u w:val="single"/>
        </w:rPr>
        <w:t xml:space="preserve">                   </w:t>
      </w:r>
      <w:r>
        <w:rPr>
          <w:rFonts w:hint="default" w:ascii="宋体" w:hAnsi="宋体" w:cs="宋体"/>
          <w:sz w:val="24"/>
          <w:u w:val="none"/>
          <w:lang w:eastAsia="zh-CN"/>
        </w:rPr>
        <w:t>（采购人名称）</w:t>
      </w:r>
    </w:p>
    <w:p>
      <w:pPr>
        <w:spacing w:line="360" w:lineRule="auto"/>
        <w:rPr>
          <w:rFonts w:ascii="宋体" w:hAnsi="宋体" w:cs="宋体"/>
          <w:sz w:val="24"/>
        </w:rPr>
      </w:pPr>
      <w:r>
        <w:rPr>
          <w:rFonts w:hint="eastAsia" w:ascii="宋体" w:hAnsi="宋体" w:cs="宋体"/>
          <w:sz w:val="24"/>
        </w:rPr>
        <w:t xml:space="preserve">     我方在此声明,所递交的投标文件(包含有关资料、澄清)真实可信，不存在虚假（包含隐瞒）。</w:t>
      </w:r>
    </w:p>
    <w:p>
      <w:pPr>
        <w:spacing w:line="360" w:lineRule="auto"/>
        <w:ind w:firstLine="480" w:firstLineChars="200"/>
        <w:rPr>
          <w:rFonts w:ascii="宋体" w:hAnsi="宋体" w:cs="宋体"/>
          <w:sz w:val="24"/>
        </w:rPr>
      </w:pPr>
      <w:r>
        <w:rPr>
          <w:rFonts w:hint="eastAsia" w:ascii="宋体" w:hAnsi="宋体" w:cs="宋体"/>
          <w:sz w:val="24"/>
        </w:rPr>
        <w:t>经我方认真核查，本投标人</w:t>
      </w:r>
      <w:r>
        <w:rPr>
          <w:rFonts w:hint="eastAsia" w:ascii="宋体" w:hAnsi="宋体" w:cs="宋体"/>
          <w:sz w:val="24"/>
          <w:lang w:val="zh-CN"/>
        </w:rPr>
        <w:t>参加本次活动前三年内（或成立至今），</w:t>
      </w:r>
      <w:r>
        <w:rPr>
          <w:rFonts w:hint="eastAsia" w:ascii="宋体" w:hAnsi="宋体" w:cs="宋体"/>
          <w:color w:val="000000"/>
          <w:sz w:val="24"/>
        </w:rPr>
        <w:t>参加本次采购前三年内，在经营活动中没有违法、违规、违约记录</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我公司没有处于被责令停产、停业、投标资格被取消状态，拒绝挂靠或借用他人资质的投标人投标。 </w:t>
      </w:r>
    </w:p>
    <w:p>
      <w:pPr>
        <w:spacing w:line="360" w:lineRule="auto"/>
        <w:ind w:firstLine="480" w:firstLineChars="200"/>
        <w:rPr>
          <w:rFonts w:ascii="宋体" w:hAnsi="宋体" w:cs="宋体"/>
          <w:sz w:val="24"/>
        </w:rPr>
      </w:pPr>
      <w:r>
        <w:rPr>
          <w:rFonts w:hint="eastAsia" w:ascii="宋体" w:hAnsi="宋体" w:cs="宋体"/>
          <w:sz w:val="24"/>
        </w:rPr>
        <w:t>我公司承诺如取得本项目中标单位资格，不得将本项目转包或分包。</w:t>
      </w:r>
    </w:p>
    <w:p>
      <w:pPr>
        <w:spacing w:line="360" w:lineRule="auto"/>
        <w:rPr>
          <w:rFonts w:ascii="宋体" w:hAnsi="宋体" w:cs="宋体"/>
          <w:sz w:val="24"/>
        </w:rPr>
      </w:pPr>
      <w:r>
        <w:rPr>
          <w:rFonts w:hint="eastAsia" w:ascii="宋体" w:hAnsi="宋体" w:cs="宋体"/>
          <w:sz w:val="24"/>
        </w:rPr>
        <w:t xml:space="preserve">    我方承诺，如存在虚假投标行为，我方自愿放弃中标人资格，贵单位可依法没收我方投标保证金并追究法律责任。</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p>
    <w:p>
      <w:pPr>
        <w:spacing w:line="360" w:lineRule="auto"/>
        <w:jc w:val="right"/>
        <w:rPr>
          <w:rFonts w:ascii="宋体" w:hAnsi="宋体" w:cs="宋体"/>
          <w:sz w:val="24"/>
        </w:rPr>
      </w:pPr>
      <w:r>
        <w:rPr>
          <w:rFonts w:hint="eastAsia" w:ascii="宋体" w:hAnsi="宋体" w:cs="宋体"/>
          <w:sz w:val="24"/>
        </w:rPr>
        <w:t xml:space="preserve">  投标人：</w:t>
      </w:r>
      <w:r>
        <w:rPr>
          <w:rFonts w:hint="eastAsia" w:ascii="宋体" w:hAnsi="宋体" w:cs="宋体"/>
          <w:sz w:val="24"/>
          <w:u w:val="single"/>
        </w:rPr>
        <w:t xml:space="preserve">                  </w:t>
      </w:r>
      <w:r>
        <w:rPr>
          <w:rFonts w:hint="eastAsia" w:ascii="宋体" w:hAnsi="宋体" w:cs="宋体"/>
          <w:sz w:val="24"/>
        </w:rPr>
        <w:t>（单位盖章）</w:t>
      </w:r>
    </w:p>
    <w:p>
      <w:pPr>
        <w:spacing w:line="360" w:lineRule="auto"/>
        <w:jc w:val="right"/>
        <w:rPr>
          <w:rFonts w:ascii="宋体" w:hAnsi="宋体" w:cs="宋体"/>
          <w:sz w:val="24"/>
        </w:rPr>
      </w:pPr>
      <w:r>
        <w:rPr>
          <w:rFonts w:hint="eastAsia" w:ascii="宋体" w:hAnsi="宋体" w:cs="宋体"/>
          <w:sz w:val="24"/>
        </w:rPr>
        <w:t xml:space="preserve">       </w:t>
      </w:r>
    </w:p>
    <w:p>
      <w:pPr>
        <w:spacing w:line="360" w:lineRule="auto"/>
        <w:jc w:val="right"/>
        <w:rPr>
          <w:rFonts w:ascii="宋体" w:hAnsi="宋体" w:cs="宋体"/>
          <w:sz w:val="24"/>
        </w:rPr>
      </w:pPr>
      <w:r>
        <w:rPr>
          <w:rFonts w:hint="eastAsia" w:ascii="宋体" w:hAnsi="宋体" w:cs="宋体"/>
          <w:sz w:val="24"/>
        </w:rPr>
        <w:t>法定代表人或其委托代理人：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jc w:val="right"/>
        <w:rPr>
          <w:rFonts w:ascii="宋体" w:hAnsi="宋体" w:cs="宋体"/>
          <w:sz w:val="24"/>
        </w:rPr>
      </w:pPr>
      <w:r>
        <w:rPr>
          <w:rFonts w:hint="eastAsia" w:ascii="宋体" w:hAnsi="宋体" w:cs="宋体"/>
          <w:sz w:val="24"/>
        </w:rPr>
        <w:t xml:space="preserve">                </w:t>
      </w:r>
    </w:p>
    <w:p>
      <w:pPr>
        <w:spacing w:line="360" w:lineRule="auto"/>
        <w:jc w:val="right"/>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 月 </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pStyle w:val="5"/>
        <w:spacing w:line="400" w:lineRule="exact"/>
        <w:jc w:val="center"/>
        <w:rPr>
          <w:rFonts w:ascii="宋体" w:hAnsi="宋体" w:eastAsia="宋体" w:cs="宋体"/>
          <w:bCs w:val="0"/>
          <w:sz w:val="24"/>
          <w:szCs w:val="24"/>
        </w:rPr>
      </w:pPr>
      <w:bookmarkStart w:id="172" w:name="_Toc365468169"/>
      <w:r>
        <w:rPr>
          <w:rFonts w:hint="eastAsia" w:ascii="宋体" w:hAnsi="宋体" w:eastAsia="宋体" w:cs="宋体"/>
          <w:bCs w:val="0"/>
          <w:sz w:val="24"/>
          <w:szCs w:val="24"/>
        </w:rPr>
        <w:br w:type="page"/>
      </w:r>
      <w:bookmarkStart w:id="173" w:name="_Toc454373572"/>
      <w:bookmarkStart w:id="174" w:name="_Toc28350"/>
      <w:bookmarkStart w:id="175" w:name="_Toc349"/>
      <w:r>
        <w:rPr>
          <w:rFonts w:hint="eastAsia" w:ascii="宋体" w:hAnsi="宋体" w:eastAsia="宋体" w:cs="宋体"/>
          <w:sz w:val="24"/>
          <w:szCs w:val="24"/>
        </w:rPr>
        <w:t>五、</w:t>
      </w:r>
      <w:bookmarkEnd w:id="172"/>
      <w:bookmarkEnd w:id="173"/>
      <w:bookmarkEnd w:id="174"/>
      <w:bookmarkEnd w:id="175"/>
      <w:bookmarkStart w:id="176" w:name="_Toc365468170"/>
      <w:bookmarkStart w:id="177" w:name="_Toc30335"/>
      <w:bookmarkStart w:id="178" w:name="_Toc454373573"/>
      <w:bookmarkStart w:id="179" w:name="_Toc14763"/>
      <w:r>
        <w:rPr>
          <w:rFonts w:hint="eastAsia" w:ascii="宋体" w:hAnsi="宋体" w:eastAsia="宋体" w:cs="宋体"/>
          <w:sz w:val="24"/>
          <w:szCs w:val="24"/>
        </w:rPr>
        <w:t>投标人资格证明</w:t>
      </w:r>
      <w:bookmarkEnd w:id="176"/>
      <w:bookmarkEnd w:id="177"/>
      <w:bookmarkEnd w:id="178"/>
      <w:bookmarkEnd w:id="179"/>
    </w:p>
    <w:p>
      <w:pPr>
        <w:spacing w:before="120" w:beforeLines="50" w:after="120" w:afterLines="50" w:line="360" w:lineRule="auto"/>
        <w:jc w:val="center"/>
        <w:rPr>
          <w:rFonts w:ascii="宋体" w:hAnsi="宋体" w:cs="宋体"/>
          <w:b/>
          <w:kern w:val="0"/>
          <w:sz w:val="24"/>
          <w:u w:val="single"/>
        </w:rPr>
      </w:pPr>
      <w:r>
        <w:rPr>
          <w:rFonts w:hint="eastAsia" w:ascii="宋体" w:hAnsi="宋体" w:cs="宋体"/>
          <w:b/>
          <w:kern w:val="0"/>
          <w:sz w:val="24"/>
          <w:u w:val="single"/>
        </w:rPr>
        <w:t>投标人应该提交的资格资信证明文件</w:t>
      </w:r>
    </w:p>
    <w:p>
      <w:pPr>
        <w:spacing w:line="360" w:lineRule="auto"/>
        <w:ind w:firstLine="360"/>
        <w:rPr>
          <w:rFonts w:ascii="宋体" w:hAnsi="宋体" w:cs="宋体"/>
          <w:sz w:val="24"/>
        </w:rPr>
      </w:pPr>
      <w:r>
        <w:rPr>
          <w:rFonts w:hint="eastAsia" w:ascii="宋体" w:hAnsi="宋体" w:cs="宋体"/>
          <w:sz w:val="24"/>
        </w:rPr>
        <w:t>一、投标人基本资质证明文件</w:t>
      </w:r>
    </w:p>
    <w:p>
      <w:pPr>
        <w:spacing w:line="360" w:lineRule="auto"/>
        <w:ind w:firstLine="360"/>
        <w:rPr>
          <w:rFonts w:ascii="宋体" w:hAnsi="宋体" w:cs="宋体"/>
          <w:sz w:val="24"/>
        </w:rPr>
      </w:pPr>
      <w:r>
        <w:rPr>
          <w:rFonts w:hint="eastAsia" w:ascii="宋体" w:hAnsi="宋体" w:cs="宋体"/>
          <w:sz w:val="24"/>
        </w:rPr>
        <w:t>1、有效的企业法人营业执照副本；组织机构代码证副本及税务登记证副本（复印件加盖投标人公章）（三证合一只提供营业执照副本）；</w:t>
      </w:r>
    </w:p>
    <w:p>
      <w:pPr>
        <w:spacing w:line="360" w:lineRule="auto"/>
        <w:ind w:firstLine="360"/>
        <w:rPr>
          <w:rFonts w:ascii="宋体" w:hAnsi="宋体" w:cs="宋体"/>
          <w:bCs/>
          <w:color w:val="000000"/>
          <w:sz w:val="24"/>
        </w:rPr>
      </w:pPr>
      <w:r>
        <w:rPr>
          <w:rFonts w:hint="eastAsia" w:ascii="宋体" w:hAnsi="宋体" w:cs="宋体"/>
          <w:sz w:val="24"/>
        </w:rPr>
        <w:t>2、企业法定代表人身份证复印件（加盖投标人公章）、</w:t>
      </w:r>
      <w:r>
        <w:rPr>
          <w:rFonts w:hint="eastAsia" w:ascii="宋体" w:hAnsi="宋体" w:cs="宋体"/>
          <w:bCs/>
          <w:sz w:val="24"/>
        </w:rPr>
        <w:t>法定代表人授权书原件（非</w:t>
      </w:r>
      <w:r>
        <w:rPr>
          <w:rFonts w:hint="eastAsia" w:ascii="宋体" w:hAnsi="宋体" w:cs="宋体"/>
          <w:bCs/>
          <w:color w:val="000000"/>
          <w:sz w:val="24"/>
        </w:rPr>
        <w:t>法定代表人投标时提供）、授权代表的身份证复印件；</w:t>
      </w:r>
    </w:p>
    <w:p>
      <w:pPr>
        <w:spacing w:line="360" w:lineRule="auto"/>
        <w:ind w:firstLine="360"/>
        <w:rPr>
          <w:rFonts w:ascii="宋体" w:hAnsi="宋体" w:cs="宋体"/>
          <w:bCs/>
          <w:color w:val="0000FF"/>
          <w:sz w:val="24"/>
        </w:rPr>
      </w:pPr>
      <w:r>
        <w:rPr>
          <w:rFonts w:hint="eastAsia" w:ascii="宋体" w:hAnsi="宋体" w:cs="宋体"/>
          <w:bCs/>
          <w:color w:val="0000FF"/>
          <w:sz w:val="24"/>
        </w:rPr>
        <w:t>3、</w:t>
      </w:r>
      <w:r>
        <w:rPr>
          <w:rFonts w:ascii="宋体" w:hAnsi="宋体" w:cs="宋体"/>
          <w:color w:val="0000FF"/>
          <w:kern w:val="0"/>
          <w:sz w:val="24"/>
          <w:lang w:bidi="ar"/>
        </w:rPr>
        <w:t>提供缴纳20</w:t>
      </w:r>
      <w:r>
        <w:rPr>
          <w:rFonts w:hint="eastAsia" w:ascii="宋体" w:hAnsi="宋体" w:cs="宋体"/>
          <w:color w:val="0000FF"/>
          <w:kern w:val="0"/>
          <w:sz w:val="24"/>
          <w:lang w:bidi="ar"/>
        </w:rPr>
        <w:t>2</w:t>
      </w:r>
      <w:r>
        <w:rPr>
          <w:rFonts w:hint="default" w:ascii="宋体" w:hAnsi="宋体" w:cs="宋体"/>
          <w:color w:val="0000FF"/>
          <w:kern w:val="0"/>
          <w:sz w:val="24"/>
          <w:lang w:bidi="ar"/>
        </w:rPr>
        <w:t>1</w:t>
      </w:r>
      <w:r>
        <w:rPr>
          <w:rFonts w:ascii="宋体" w:hAnsi="宋体" w:cs="宋体"/>
          <w:color w:val="0000FF"/>
          <w:kern w:val="0"/>
          <w:sz w:val="24"/>
          <w:lang w:bidi="ar"/>
        </w:rPr>
        <w:t>年以来</w:t>
      </w:r>
      <w:r>
        <w:rPr>
          <w:rFonts w:hint="eastAsia" w:ascii="宋体" w:hAnsi="宋体" w:cs="宋体"/>
          <w:color w:val="0000FF"/>
          <w:kern w:val="0"/>
          <w:sz w:val="24"/>
          <w:lang w:bidi="ar"/>
        </w:rPr>
        <w:t>近六</w:t>
      </w:r>
      <w:r>
        <w:rPr>
          <w:rFonts w:ascii="宋体" w:hAnsi="宋体" w:cs="宋体"/>
          <w:color w:val="0000FF"/>
          <w:kern w:val="0"/>
          <w:sz w:val="24"/>
          <w:lang w:bidi="ar"/>
        </w:rPr>
        <w:t>个月</w:t>
      </w:r>
      <w:r>
        <w:rPr>
          <w:rFonts w:hint="eastAsia" w:ascii="宋体" w:hAnsi="宋体" w:cs="宋体"/>
          <w:color w:val="0000FF"/>
          <w:kern w:val="0"/>
          <w:sz w:val="24"/>
          <w:lang w:bidi="ar"/>
        </w:rPr>
        <w:t>的</w:t>
      </w:r>
      <w:r>
        <w:rPr>
          <w:rFonts w:ascii="宋体" w:hAnsi="宋体" w:cs="宋体"/>
          <w:color w:val="0000FF"/>
          <w:kern w:val="0"/>
          <w:sz w:val="24"/>
          <w:lang w:bidi="ar"/>
        </w:rPr>
        <w:t>社保缴费和纳税缴税证明依据</w:t>
      </w:r>
      <w:r>
        <w:rPr>
          <w:rFonts w:hint="eastAsia" w:ascii="宋体" w:hAnsi="宋体" w:cs="宋体"/>
          <w:color w:val="0000FF"/>
          <w:kern w:val="0"/>
          <w:sz w:val="24"/>
          <w:lang w:bidi="ar"/>
        </w:rPr>
        <w:t>的复印件</w:t>
      </w:r>
      <w:r>
        <w:rPr>
          <w:rFonts w:hint="eastAsia" w:ascii="宋体" w:hAnsi="宋体" w:cs="宋体"/>
          <w:bCs/>
          <w:color w:val="0000FF"/>
          <w:sz w:val="24"/>
        </w:rPr>
        <w:t>；</w:t>
      </w:r>
    </w:p>
    <w:p>
      <w:pPr>
        <w:spacing w:line="360" w:lineRule="auto"/>
        <w:ind w:firstLine="360"/>
        <w:rPr>
          <w:rFonts w:ascii="宋体" w:hAnsi="宋体" w:cs="宋体"/>
          <w:color w:val="000000"/>
          <w:sz w:val="24"/>
        </w:rPr>
      </w:pPr>
      <w:r>
        <w:rPr>
          <w:rFonts w:hint="eastAsia" w:ascii="宋体" w:hAnsi="宋体" w:cs="宋体"/>
          <w:sz w:val="24"/>
        </w:rPr>
        <w:t>4、提供健全的财务会计制度：（</w:t>
      </w:r>
      <w:r>
        <w:rPr>
          <w:rFonts w:hint="eastAsia" w:ascii="宋体" w:hAnsi="宋体"/>
          <w:color w:val="000000"/>
          <w:sz w:val="24"/>
        </w:rPr>
        <w:t>①可提供2</w:t>
      </w:r>
      <w:r>
        <w:rPr>
          <w:rFonts w:ascii="宋体" w:hAnsi="宋体"/>
          <w:color w:val="000000"/>
          <w:sz w:val="24"/>
        </w:rPr>
        <w:t>0</w:t>
      </w:r>
      <w:r>
        <w:rPr>
          <w:rFonts w:ascii="宋体" w:hAnsi="宋体"/>
          <w:color w:val="000000"/>
          <w:sz w:val="24"/>
        </w:rPr>
        <w:t>21</w:t>
      </w:r>
      <w:r>
        <w:rPr>
          <w:rFonts w:hint="eastAsia" w:ascii="宋体" w:hAnsi="宋体"/>
          <w:color w:val="000000"/>
          <w:sz w:val="24"/>
        </w:rPr>
        <w:t>年度经审计的财务报告复印件（包含审计报告和审计报告中所涉及的财务报表和报表附注），②也可提供20</w:t>
      </w:r>
      <w:r>
        <w:rPr>
          <w:rFonts w:hint="eastAsia" w:ascii="宋体" w:hAnsi="宋体"/>
          <w:color w:val="000000"/>
          <w:sz w:val="24"/>
          <w:lang w:val="en-US" w:eastAsia="zh-CN"/>
        </w:rPr>
        <w:t>21</w:t>
      </w:r>
      <w:r>
        <w:rPr>
          <w:rFonts w:hint="eastAsia" w:ascii="宋体" w:hAnsi="宋体"/>
          <w:color w:val="000000"/>
          <w:sz w:val="24"/>
        </w:rPr>
        <w:t>年度供应商内部的财务报表复印件（至少包含资产负债表、损益</w:t>
      </w:r>
      <w:r>
        <w:rPr>
          <w:rFonts w:ascii="宋体" w:hAnsi="宋体"/>
          <w:color w:val="000000"/>
          <w:sz w:val="24"/>
        </w:rPr>
        <w:t>表</w:t>
      </w:r>
      <w:r>
        <w:rPr>
          <w:rFonts w:hint="eastAsia" w:ascii="宋体" w:hAnsi="宋体"/>
          <w:color w:val="000000"/>
          <w:sz w:val="24"/>
        </w:rPr>
        <w:t>、现金</w:t>
      </w:r>
      <w:r>
        <w:rPr>
          <w:rFonts w:ascii="宋体" w:hAnsi="宋体"/>
          <w:color w:val="000000"/>
          <w:sz w:val="24"/>
        </w:rPr>
        <w:t>流量表</w:t>
      </w:r>
      <w:r>
        <w:rPr>
          <w:rFonts w:hint="eastAsia" w:ascii="宋体" w:hAnsi="宋体"/>
          <w:color w:val="000000"/>
          <w:sz w:val="24"/>
        </w:rPr>
        <w:t>），③也可提供截至响应文件递交截止日一年内银行出具的资信证明（复印件）</w:t>
      </w:r>
      <w:r>
        <w:rPr>
          <w:rFonts w:hint="eastAsia" w:ascii="宋体" w:hAnsi="宋体" w:cs="宋体"/>
          <w:sz w:val="24"/>
        </w:rPr>
        <w:t>）</w:t>
      </w:r>
      <w:r>
        <w:rPr>
          <w:rFonts w:hint="eastAsia" w:ascii="宋体" w:hAnsi="宋体"/>
          <w:color w:val="000000"/>
          <w:sz w:val="24"/>
        </w:rPr>
        <w:t>。</w:t>
      </w:r>
    </w:p>
    <w:p>
      <w:pPr>
        <w:spacing w:line="360" w:lineRule="auto"/>
        <w:ind w:firstLine="360"/>
        <w:rPr>
          <w:rFonts w:ascii="宋体" w:hAnsi="宋体" w:cs="宋体"/>
          <w:color w:val="000000"/>
          <w:sz w:val="24"/>
        </w:rPr>
      </w:pPr>
      <w:r>
        <w:rPr>
          <w:rFonts w:hint="eastAsia" w:ascii="宋体" w:hAnsi="宋体" w:cs="宋体"/>
          <w:color w:val="000000"/>
          <w:sz w:val="24"/>
        </w:rPr>
        <w:t>二、投标人其它资质证明文件</w:t>
      </w:r>
    </w:p>
    <w:p>
      <w:pPr>
        <w:spacing w:line="360" w:lineRule="auto"/>
        <w:ind w:firstLine="360"/>
        <w:rPr>
          <w:rFonts w:ascii="宋体" w:hAnsi="宋体" w:cs="宋体"/>
          <w:sz w:val="24"/>
        </w:rPr>
      </w:pPr>
      <w:r>
        <w:rPr>
          <w:rFonts w:hint="eastAsia" w:ascii="宋体" w:hAnsi="宋体" w:cs="宋体"/>
          <w:sz w:val="24"/>
        </w:rPr>
        <w:t>1、 提供参加本次采购前三年内，在经营活动中没有违法记录的承诺函（格式自拟）；</w:t>
      </w:r>
    </w:p>
    <w:p>
      <w:pPr>
        <w:spacing w:line="360" w:lineRule="auto"/>
        <w:ind w:firstLine="360"/>
        <w:rPr>
          <w:rFonts w:ascii="宋体" w:hAnsi="宋体" w:cs="宋体"/>
          <w:sz w:val="24"/>
        </w:rPr>
      </w:pPr>
      <w:r>
        <w:rPr>
          <w:rFonts w:hint="eastAsia" w:ascii="宋体" w:hAnsi="宋体" w:cs="宋体"/>
          <w:sz w:val="24"/>
        </w:rPr>
        <w:t>2、提供具有履行合同所必需的专业技术能力的承诺函（格式自拟）；</w:t>
      </w:r>
    </w:p>
    <w:p>
      <w:pPr>
        <w:spacing w:line="360" w:lineRule="auto"/>
        <w:ind w:firstLine="360"/>
        <w:rPr>
          <w:rFonts w:ascii="宋体" w:hAnsi="宋体" w:cs="宋体"/>
          <w:sz w:val="24"/>
        </w:rPr>
      </w:pPr>
      <w:r>
        <w:rPr>
          <w:rFonts w:hint="eastAsia" w:ascii="宋体" w:hAnsi="宋体" w:cs="宋体"/>
          <w:sz w:val="24"/>
        </w:rPr>
        <w:t>3、提供具有良好的商业信誉的承诺函（格式自拟）；</w:t>
      </w:r>
    </w:p>
    <w:p>
      <w:pPr>
        <w:spacing w:line="360" w:lineRule="auto"/>
        <w:ind w:firstLine="360"/>
        <w:rPr>
          <w:rFonts w:ascii="宋体" w:hAnsi="宋体" w:cs="宋体"/>
          <w:sz w:val="24"/>
        </w:rPr>
      </w:pPr>
      <w:r>
        <w:rPr>
          <w:rFonts w:hint="eastAsia" w:ascii="宋体" w:hAnsi="宋体" w:cs="宋体"/>
          <w:sz w:val="24"/>
        </w:rPr>
        <w:t>4、投标人“在国家企业信用信息公示系统”内，近三年未列入严重违法失信企业名单（黑名单）信息（网络截图并盖章）；</w:t>
      </w:r>
    </w:p>
    <w:p>
      <w:pPr>
        <w:spacing w:line="360" w:lineRule="auto"/>
        <w:ind w:firstLine="360"/>
        <w:rPr>
          <w:rFonts w:ascii="宋体" w:hAnsi="宋体" w:cs="宋体"/>
          <w:sz w:val="24"/>
        </w:rPr>
      </w:pPr>
      <w:r>
        <w:rPr>
          <w:rFonts w:hint="eastAsia" w:ascii="宋体" w:hAnsi="宋体" w:cs="宋体"/>
          <w:sz w:val="24"/>
        </w:rPr>
        <w:t>5、</w:t>
      </w:r>
      <w:r>
        <w:rPr>
          <w:rFonts w:ascii="宋体" w:hAnsi="宋体" w:cs="宋体"/>
          <w:sz w:val="24"/>
        </w:rPr>
        <w:t>投标人须</w:t>
      </w:r>
      <w:r>
        <w:rPr>
          <w:rFonts w:hint="eastAsia" w:ascii="宋体" w:hAnsi="宋体" w:cs="宋体"/>
          <w:sz w:val="24"/>
        </w:rPr>
        <w:t>提供</w:t>
      </w:r>
      <w:r>
        <w:rPr>
          <w:rFonts w:asciiTheme="minorEastAsia" w:hAnsiTheme="minorEastAsia" w:eastAsiaTheme="minorEastAsia"/>
          <w:color w:val="000000"/>
          <w:kern w:val="0"/>
          <w:sz w:val="24"/>
          <w:lang w:bidi="ar"/>
        </w:rPr>
        <w:t>消防</w:t>
      </w:r>
      <w:r>
        <w:rPr>
          <w:rFonts w:hint="eastAsia" w:asciiTheme="minorEastAsia" w:hAnsiTheme="minorEastAsia" w:eastAsiaTheme="minorEastAsia"/>
          <w:color w:val="000000"/>
          <w:kern w:val="0"/>
          <w:sz w:val="24"/>
          <w:lang w:bidi="ar"/>
        </w:rPr>
        <w:t>技术</w:t>
      </w:r>
      <w:r>
        <w:rPr>
          <w:rFonts w:asciiTheme="minorEastAsia" w:hAnsiTheme="minorEastAsia" w:eastAsiaTheme="minorEastAsia"/>
          <w:color w:val="000000"/>
          <w:kern w:val="0"/>
          <w:sz w:val="24"/>
          <w:lang w:bidi="ar"/>
        </w:rPr>
        <w:t>服务机构</w:t>
      </w:r>
      <w:r>
        <w:rPr>
          <w:rFonts w:ascii="宋体" w:hAnsi="宋体" w:cs="宋体"/>
          <w:sz w:val="24"/>
        </w:rPr>
        <w:t>贰级</w:t>
      </w:r>
      <w:r>
        <w:rPr>
          <w:rFonts w:hint="eastAsia" w:ascii="宋体" w:hAnsi="宋体" w:cs="宋体"/>
          <w:sz w:val="24"/>
        </w:rPr>
        <w:t>或</w:t>
      </w:r>
      <w:r>
        <w:rPr>
          <w:rFonts w:ascii="宋体" w:hAnsi="宋体" w:cs="宋体"/>
          <w:sz w:val="24"/>
        </w:rPr>
        <w:t>以上资质</w:t>
      </w:r>
      <w:r>
        <w:rPr>
          <w:rFonts w:hint="eastAsia" w:ascii="宋体" w:hAnsi="宋体" w:cs="宋体"/>
          <w:sz w:val="24"/>
        </w:rPr>
        <w:t>（复印件并盖章、原件</w:t>
      </w:r>
      <w:r>
        <w:rPr>
          <w:rFonts w:ascii="宋体" w:hAnsi="宋体" w:cs="宋体"/>
          <w:sz w:val="24"/>
        </w:rPr>
        <w:t>备查</w:t>
      </w:r>
      <w:r>
        <w:rPr>
          <w:rFonts w:hint="eastAsia" w:ascii="宋体" w:hAnsi="宋体" w:cs="宋体"/>
          <w:sz w:val="24"/>
        </w:rPr>
        <w:t>）；</w:t>
      </w:r>
    </w:p>
    <w:p>
      <w:pPr>
        <w:spacing w:line="360" w:lineRule="auto"/>
        <w:ind w:firstLine="360"/>
        <w:rPr>
          <w:rFonts w:ascii="宋体" w:hAnsi="宋体" w:cs="宋体"/>
          <w:sz w:val="24"/>
        </w:rPr>
      </w:pPr>
      <w:r>
        <w:rPr>
          <w:rFonts w:hint="eastAsia" w:ascii="宋体" w:hAnsi="宋体" w:cs="宋体"/>
          <w:sz w:val="24"/>
        </w:rPr>
        <w:t>6、</w:t>
      </w:r>
      <w:r>
        <w:rPr>
          <w:rFonts w:hint="eastAsia" w:hAnsi="宋体" w:cs="宋体"/>
          <w:sz w:val="24"/>
          <w:szCs w:val="28"/>
        </w:rPr>
        <w:t>截止本项目投标截止时间</w:t>
      </w:r>
      <w:r>
        <w:rPr>
          <w:rFonts w:hint="eastAsia" w:hAnsi="宋体" w:cs="宋体"/>
          <w:sz w:val="24"/>
        </w:rPr>
        <w:t>，未被列入失信被执行人、重大税收违法案件当事人、政府采购严重违法失信行为记录名单</w:t>
      </w:r>
      <w:r>
        <w:rPr>
          <w:rFonts w:hint="eastAsia" w:hAnsi="宋体" w:cs="宋体"/>
          <w:sz w:val="24"/>
          <w:szCs w:val="28"/>
        </w:rPr>
        <w:t>；</w:t>
      </w:r>
      <w:r>
        <w:rPr>
          <w:rFonts w:hint="eastAsia" w:hAnsi="宋体" w:cs="宋体"/>
          <w:sz w:val="24"/>
        </w:rPr>
        <w:t>〔查询渠道“中国裁判文书网（wenshu.court.gov.cn）”、“信用中国”网站（www.creditchina.gov.cn）”、“中国政府采购网（</w:t>
      </w:r>
      <w:r>
        <w:fldChar w:fldCharType="begin"/>
      </w:r>
      <w:r>
        <w:instrText xml:space="preserve"> HYPERLINK "http://www.ccgp.gov.cn）〕" </w:instrText>
      </w:r>
      <w:r>
        <w:fldChar w:fldCharType="separate"/>
      </w:r>
      <w:r>
        <w:rPr>
          <w:rStyle w:val="21"/>
          <w:rFonts w:hint="eastAsia" w:hAnsi="宋体" w:cs="宋体"/>
          <w:color w:val="auto"/>
          <w:sz w:val="24"/>
          <w:u w:val="none"/>
        </w:rPr>
        <w:t>www.ccgp.gov.cn）〕</w:t>
      </w:r>
      <w:r>
        <w:rPr>
          <w:rStyle w:val="21"/>
          <w:rFonts w:hint="eastAsia" w:hAnsi="宋体" w:cs="宋体"/>
          <w:color w:val="auto"/>
          <w:sz w:val="24"/>
          <w:u w:val="none"/>
        </w:rPr>
        <w:fldChar w:fldCharType="end"/>
      </w:r>
      <w:r>
        <w:rPr>
          <w:rStyle w:val="21"/>
          <w:rFonts w:hint="eastAsia" w:hAnsi="宋体" w:cs="宋体"/>
          <w:color w:val="auto"/>
          <w:sz w:val="24"/>
          <w:u w:val="none"/>
        </w:rPr>
        <w:t>，提供查询截图。</w:t>
      </w:r>
    </w:p>
    <w:p>
      <w:pPr>
        <w:spacing w:line="360" w:lineRule="auto"/>
        <w:ind w:firstLine="360"/>
        <w:rPr>
          <w:rFonts w:ascii="宋体" w:hAnsi="宋体" w:cs="宋体"/>
          <w:sz w:val="24"/>
        </w:rPr>
      </w:pPr>
      <w:r>
        <w:rPr>
          <w:rFonts w:hint="eastAsia" w:ascii="宋体" w:hAnsi="宋体" w:cs="宋体"/>
          <w:sz w:val="24"/>
        </w:rPr>
        <w:t>以上资料（投标人基本资质证明文件和其它资质证明文件）为投标文件的必备文件，均须加盖投标人公章。</w:t>
      </w:r>
    </w:p>
    <w:p>
      <w:pPr>
        <w:spacing w:after="120" w:afterLines="50" w:line="420" w:lineRule="exact"/>
        <w:ind w:left="140" w:leftChars="66" w:hanging="1"/>
        <w:rPr>
          <w:rFonts w:ascii="宋体" w:hAnsi="宋体" w:cs="宋体"/>
          <w:bCs/>
          <w:sz w:val="24"/>
        </w:rPr>
      </w:pPr>
    </w:p>
    <w:p>
      <w:pPr>
        <w:spacing w:after="120" w:afterLines="50" w:line="420" w:lineRule="exact"/>
        <w:ind w:left="140" w:leftChars="66" w:hanging="1"/>
        <w:rPr>
          <w:rFonts w:ascii="宋体" w:hAnsi="宋体" w:cs="宋体"/>
          <w:bCs/>
          <w:sz w:val="24"/>
        </w:rPr>
      </w:pPr>
      <w:r>
        <w:rPr>
          <w:rFonts w:hint="eastAsia" w:ascii="宋体" w:hAnsi="宋体" w:cs="宋体"/>
          <w:b/>
          <w:sz w:val="24"/>
        </w:rPr>
        <w:t>以上要求投标人提供的资格证明文件复印件必须加盖投标人印章（鲜章）。</w:t>
      </w:r>
    </w:p>
    <w:p>
      <w:pPr>
        <w:rPr>
          <w:rFonts w:ascii="宋体" w:hAnsi="宋体" w:cs="宋体"/>
        </w:rPr>
      </w:pPr>
    </w:p>
    <w:p>
      <w:pPr>
        <w:rPr>
          <w:rFonts w:ascii="宋体" w:hAnsi="宋体" w:cs="宋体"/>
        </w:rPr>
      </w:pPr>
    </w:p>
    <w:p>
      <w:pPr>
        <w:widowControl/>
        <w:spacing w:line="360" w:lineRule="atLeast"/>
        <w:jc w:val="center"/>
        <w:outlineLvl w:val="1"/>
        <w:rPr>
          <w:rFonts w:ascii="宋体" w:hAnsi="宋体" w:cs="宋体"/>
          <w:b/>
          <w:bCs/>
          <w:sz w:val="24"/>
        </w:rPr>
      </w:pPr>
      <w:bookmarkStart w:id="180" w:name="_Toc365468171"/>
      <w:r>
        <w:rPr>
          <w:rFonts w:hint="eastAsia" w:ascii="宋体" w:hAnsi="宋体" w:cs="宋体"/>
          <w:sz w:val="24"/>
        </w:rPr>
        <w:br w:type="page"/>
      </w:r>
      <w:bookmarkStart w:id="181" w:name="_Toc454373574"/>
      <w:bookmarkStart w:id="182" w:name="_Toc27170"/>
      <w:bookmarkStart w:id="183" w:name="_Toc31941"/>
      <w:r>
        <w:rPr>
          <w:rFonts w:hint="eastAsia" w:ascii="宋体" w:hAnsi="宋体" w:cs="宋体"/>
          <w:b/>
          <w:bCs/>
          <w:sz w:val="24"/>
        </w:rPr>
        <w:t>七、</w:t>
      </w:r>
      <w:bookmarkEnd w:id="167"/>
      <w:bookmarkEnd w:id="180"/>
      <w:bookmarkEnd w:id="181"/>
      <w:bookmarkEnd w:id="182"/>
      <w:bookmarkEnd w:id="183"/>
      <w:bookmarkStart w:id="184" w:name="_Toc29001"/>
      <w:bookmarkStart w:id="185" w:name="_Toc217446087"/>
      <w:bookmarkStart w:id="186" w:name="_Toc365468172"/>
      <w:bookmarkStart w:id="187" w:name="_Toc454373575"/>
      <w:bookmarkStart w:id="188" w:name="_Toc22022"/>
      <w:r>
        <w:rPr>
          <w:rFonts w:hint="eastAsia" w:ascii="宋体" w:hAnsi="宋体" w:cs="宋体"/>
          <w:b/>
          <w:bCs/>
          <w:sz w:val="24"/>
        </w:rPr>
        <w:t>开标一览表</w:t>
      </w: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bookmarkStart w:id="189" w:name="_Toc217446084"/>
      <w:r>
        <w:rPr>
          <w:rFonts w:hint="eastAsia" w:ascii="宋体" w:hAnsi="宋体" w:cs="宋体"/>
          <w:sz w:val="24"/>
        </w:rPr>
        <w:t>第  包</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71"/>
        <w:gridCol w:w="1345"/>
        <w:gridCol w:w="1035"/>
        <w:gridCol w:w="900"/>
        <w:gridCol w:w="1335"/>
        <w:gridCol w:w="148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706"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271" w:type="dxa"/>
            <w:vAlign w:val="center"/>
          </w:tcPr>
          <w:p>
            <w:pPr>
              <w:spacing w:line="360" w:lineRule="auto"/>
              <w:jc w:val="center"/>
              <w:rPr>
                <w:rFonts w:ascii="宋体" w:hAnsi="宋体" w:cs="宋体"/>
                <w:sz w:val="24"/>
              </w:rPr>
            </w:pPr>
            <w:r>
              <w:rPr>
                <w:rFonts w:hint="eastAsia" w:ascii="宋体" w:hAnsi="宋体" w:cs="宋体"/>
                <w:sz w:val="24"/>
              </w:rPr>
              <w:t>产品名称</w:t>
            </w:r>
          </w:p>
        </w:tc>
        <w:tc>
          <w:tcPr>
            <w:tcW w:w="1345" w:type="dxa"/>
            <w:vAlign w:val="center"/>
          </w:tcPr>
          <w:p>
            <w:pPr>
              <w:spacing w:line="360" w:lineRule="auto"/>
              <w:jc w:val="center"/>
              <w:rPr>
                <w:rFonts w:ascii="宋体" w:hAnsi="宋体" w:cs="宋体"/>
                <w:sz w:val="24"/>
              </w:rPr>
            </w:pPr>
            <w:r>
              <w:rPr>
                <w:rFonts w:hint="eastAsia" w:ascii="宋体" w:hAnsi="宋体" w:cs="宋体"/>
                <w:sz w:val="24"/>
              </w:rPr>
              <w:t>规格型号</w:t>
            </w:r>
          </w:p>
        </w:tc>
        <w:tc>
          <w:tcPr>
            <w:tcW w:w="1035"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900"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1335" w:type="dxa"/>
            <w:vAlign w:val="center"/>
          </w:tcPr>
          <w:p>
            <w:pPr>
              <w:spacing w:line="360" w:lineRule="auto"/>
              <w:jc w:val="center"/>
              <w:rPr>
                <w:rFonts w:ascii="宋体" w:hAnsi="宋体" w:cs="宋体"/>
                <w:sz w:val="24"/>
              </w:rPr>
            </w:pPr>
            <w:r>
              <w:rPr>
                <w:rFonts w:hint="eastAsia" w:ascii="宋体" w:hAnsi="宋体" w:cs="宋体"/>
                <w:sz w:val="24"/>
              </w:rPr>
              <w:t>单价（元）</w:t>
            </w:r>
          </w:p>
        </w:tc>
        <w:tc>
          <w:tcPr>
            <w:tcW w:w="1485" w:type="dxa"/>
            <w:vAlign w:val="center"/>
          </w:tcPr>
          <w:p>
            <w:pPr>
              <w:spacing w:line="360" w:lineRule="auto"/>
              <w:jc w:val="center"/>
              <w:rPr>
                <w:rFonts w:ascii="宋体" w:hAnsi="宋体" w:cs="宋体"/>
                <w:sz w:val="24"/>
              </w:rPr>
            </w:pPr>
            <w:r>
              <w:rPr>
                <w:rFonts w:hint="eastAsia" w:ascii="宋体" w:hAnsi="宋体" w:cs="宋体"/>
                <w:sz w:val="24"/>
              </w:rPr>
              <w:t>总价（元）</w:t>
            </w:r>
          </w:p>
        </w:tc>
        <w:tc>
          <w:tcPr>
            <w:tcW w:w="875"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06" w:type="dxa"/>
            <w:vAlign w:val="center"/>
          </w:tcPr>
          <w:p>
            <w:pPr>
              <w:spacing w:line="360" w:lineRule="auto"/>
              <w:jc w:val="center"/>
              <w:rPr>
                <w:rFonts w:ascii="宋体" w:hAnsi="宋体" w:cs="宋体"/>
                <w:sz w:val="18"/>
                <w:szCs w:val="18"/>
              </w:rPr>
            </w:pPr>
          </w:p>
        </w:tc>
        <w:tc>
          <w:tcPr>
            <w:tcW w:w="1271" w:type="dxa"/>
            <w:vAlign w:val="center"/>
          </w:tcPr>
          <w:p>
            <w:pPr>
              <w:spacing w:line="360" w:lineRule="auto"/>
              <w:jc w:val="center"/>
              <w:rPr>
                <w:rFonts w:ascii="宋体" w:hAnsi="宋体" w:cs="宋体"/>
                <w:sz w:val="18"/>
                <w:szCs w:val="18"/>
              </w:rPr>
            </w:pPr>
          </w:p>
        </w:tc>
        <w:tc>
          <w:tcPr>
            <w:tcW w:w="1345" w:type="dxa"/>
            <w:vAlign w:val="center"/>
          </w:tcPr>
          <w:p>
            <w:pPr>
              <w:spacing w:line="360" w:lineRule="auto"/>
              <w:jc w:val="center"/>
              <w:rPr>
                <w:rFonts w:ascii="宋体" w:hAnsi="宋体" w:cs="宋体"/>
                <w:sz w:val="18"/>
                <w:szCs w:val="18"/>
              </w:rPr>
            </w:pPr>
          </w:p>
        </w:tc>
        <w:tc>
          <w:tcPr>
            <w:tcW w:w="1035" w:type="dxa"/>
            <w:vAlign w:val="center"/>
          </w:tcPr>
          <w:p>
            <w:pPr>
              <w:spacing w:line="360" w:lineRule="auto"/>
              <w:jc w:val="center"/>
              <w:rPr>
                <w:rFonts w:ascii="宋体" w:hAnsi="宋体" w:cs="宋体"/>
                <w:sz w:val="18"/>
                <w:szCs w:val="18"/>
              </w:rPr>
            </w:pPr>
          </w:p>
        </w:tc>
        <w:tc>
          <w:tcPr>
            <w:tcW w:w="900" w:type="dxa"/>
            <w:vAlign w:val="center"/>
          </w:tcPr>
          <w:p>
            <w:pPr>
              <w:spacing w:line="360" w:lineRule="auto"/>
              <w:rPr>
                <w:rFonts w:ascii="宋体" w:hAnsi="宋体" w:cs="宋体"/>
                <w:sz w:val="18"/>
                <w:szCs w:val="18"/>
              </w:rPr>
            </w:pPr>
          </w:p>
        </w:tc>
        <w:tc>
          <w:tcPr>
            <w:tcW w:w="1335" w:type="dxa"/>
            <w:vAlign w:val="center"/>
          </w:tcPr>
          <w:p>
            <w:pPr>
              <w:spacing w:line="360" w:lineRule="auto"/>
              <w:rPr>
                <w:rFonts w:ascii="宋体" w:hAnsi="宋体" w:cs="宋体"/>
                <w:sz w:val="18"/>
                <w:szCs w:val="18"/>
              </w:rPr>
            </w:pPr>
          </w:p>
        </w:tc>
        <w:tc>
          <w:tcPr>
            <w:tcW w:w="1485" w:type="dxa"/>
            <w:vAlign w:val="center"/>
          </w:tcPr>
          <w:p>
            <w:pPr>
              <w:spacing w:line="360" w:lineRule="auto"/>
              <w:rPr>
                <w:rFonts w:ascii="宋体" w:hAnsi="宋体" w:cs="宋体"/>
                <w:sz w:val="18"/>
                <w:szCs w:val="18"/>
              </w:rPr>
            </w:pPr>
          </w:p>
        </w:tc>
        <w:tc>
          <w:tcPr>
            <w:tcW w:w="875" w:type="dxa"/>
            <w:vAlign w:val="center"/>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06" w:type="dxa"/>
            <w:vAlign w:val="center"/>
          </w:tcPr>
          <w:p>
            <w:pPr>
              <w:spacing w:line="360" w:lineRule="auto"/>
              <w:jc w:val="center"/>
              <w:rPr>
                <w:rFonts w:ascii="宋体" w:hAnsi="宋体" w:cs="宋体"/>
                <w:sz w:val="18"/>
                <w:szCs w:val="18"/>
              </w:rPr>
            </w:pPr>
          </w:p>
        </w:tc>
        <w:tc>
          <w:tcPr>
            <w:tcW w:w="1271" w:type="dxa"/>
            <w:vAlign w:val="center"/>
          </w:tcPr>
          <w:p>
            <w:pPr>
              <w:spacing w:line="360" w:lineRule="auto"/>
              <w:jc w:val="center"/>
              <w:rPr>
                <w:rFonts w:ascii="宋体" w:hAnsi="宋体" w:cs="宋体"/>
                <w:sz w:val="18"/>
                <w:szCs w:val="18"/>
              </w:rPr>
            </w:pPr>
          </w:p>
        </w:tc>
        <w:tc>
          <w:tcPr>
            <w:tcW w:w="1345" w:type="dxa"/>
            <w:vAlign w:val="center"/>
          </w:tcPr>
          <w:p>
            <w:pPr>
              <w:spacing w:line="360" w:lineRule="auto"/>
              <w:jc w:val="center"/>
              <w:rPr>
                <w:rFonts w:ascii="宋体" w:hAnsi="宋体" w:cs="宋体"/>
                <w:sz w:val="18"/>
                <w:szCs w:val="18"/>
              </w:rPr>
            </w:pPr>
          </w:p>
        </w:tc>
        <w:tc>
          <w:tcPr>
            <w:tcW w:w="1035" w:type="dxa"/>
            <w:vAlign w:val="center"/>
          </w:tcPr>
          <w:p>
            <w:pPr>
              <w:spacing w:line="360" w:lineRule="auto"/>
              <w:jc w:val="center"/>
              <w:rPr>
                <w:rFonts w:ascii="宋体" w:hAnsi="宋体" w:cs="宋体"/>
                <w:sz w:val="18"/>
                <w:szCs w:val="18"/>
              </w:rPr>
            </w:pPr>
          </w:p>
        </w:tc>
        <w:tc>
          <w:tcPr>
            <w:tcW w:w="900" w:type="dxa"/>
            <w:vAlign w:val="center"/>
          </w:tcPr>
          <w:p>
            <w:pPr>
              <w:spacing w:line="360" w:lineRule="auto"/>
              <w:rPr>
                <w:rFonts w:ascii="宋体" w:hAnsi="宋体" w:cs="宋体"/>
                <w:sz w:val="18"/>
                <w:szCs w:val="18"/>
              </w:rPr>
            </w:pPr>
          </w:p>
        </w:tc>
        <w:tc>
          <w:tcPr>
            <w:tcW w:w="1335" w:type="dxa"/>
            <w:vAlign w:val="center"/>
          </w:tcPr>
          <w:p>
            <w:pPr>
              <w:spacing w:line="360" w:lineRule="auto"/>
              <w:rPr>
                <w:rFonts w:ascii="宋体" w:hAnsi="宋体" w:cs="宋体"/>
                <w:sz w:val="18"/>
                <w:szCs w:val="18"/>
              </w:rPr>
            </w:pPr>
          </w:p>
        </w:tc>
        <w:tc>
          <w:tcPr>
            <w:tcW w:w="1485" w:type="dxa"/>
            <w:vAlign w:val="center"/>
          </w:tcPr>
          <w:p>
            <w:pPr>
              <w:spacing w:line="360" w:lineRule="auto"/>
              <w:jc w:val="center"/>
              <w:rPr>
                <w:rFonts w:ascii="宋体" w:hAnsi="宋体" w:cs="宋体"/>
                <w:sz w:val="24"/>
              </w:rPr>
            </w:pPr>
          </w:p>
        </w:tc>
        <w:tc>
          <w:tcPr>
            <w:tcW w:w="875"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gridSpan w:val="8"/>
            <w:vAlign w:val="center"/>
          </w:tcPr>
          <w:p>
            <w:pPr>
              <w:spacing w:line="360" w:lineRule="auto"/>
              <w:rPr>
                <w:rStyle w:val="32"/>
                <w:rFonts w:ascii="宋体" w:hAnsi="宋体" w:cs="宋体"/>
                <w:sz w:val="24"/>
              </w:rPr>
            </w:pPr>
            <w:r>
              <w:rPr>
                <w:rStyle w:val="32"/>
                <w:rFonts w:hint="eastAsia" w:ascii="宋体" w:hAnsi="宋体" w:cs="宋体"/>
                <w:sz w:val="24"/>
              </w:rPr>
              <w:t>合计人民币（小写）</w:t>
            </w:r>
            <w:r>
              <w:rPr>
                <w:rFonts w:hint="eastAsia" w:ascii="宋体" w:hAnsi="宋体" w:cs="宋体"/>
                <w:bCs/>
                <w:sz w:val="24"/>
                <w:u w:val="single"/>
              </w:rPr>
              <w:t xml:space="preserve">                 </w:t>
            </w:r>
            <w:r>
              <w:rPr>
                <w:rFonts w:hint="eastAsia" w:ascii="宋体" w:hAnsi="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2" w:type="dxa"/>
            <w:gridSpan w:val="8"/>
            <w:vAlign w:val="center"/>
          </w:tcPr>
          <w:p>
            <w:pPr>
              <w:spacing w:line="360" w:lineRule="auto"/>
              <w:rPr>
                <w:rStyle w:val="32"/>
                <w:rFonts w:ascii="宋体" w:hAnsi="宋体" w:cs="宋体"/>
                <w:sz w:val="24"/>
              </w:rPr>
            </w:pPr>
            <w:r>
              <w:rPr>
                <w:rStyle w:val="32"/>
                <w:rFonts w:hint="eastAsia" w:ascii="宋体" w:hAnsi="宋体" w:cs="宋体"/>
                <w:sz w:val="24"/>
              </w:rPr>
              <w:t>合计人民币（大写）</w:t>
            </w:r>
            <w:r>
              <w:rPr>
                <w:rFonts w:hint="eastAsia" w:ascii="宋体" w:hAnsi="宋体" w:cs="宋体"/>
                <w:bCs/>
                <w:sz w:val="24"/>
                <w:u w:val="single"/>
              </w:rPr>
              <w:t xml:space="preserve">                 </w:t>
            </w:r>
          </w:p>
        </w:tc>
      </w:tr>
    </w:tbl>
    <w:p>
      <w:pPr>
        <w:widowControl/>
        <w:spacing w:line="360" w:lineRule="atLeast"/>
        <w:jc w:val="left"/>
        <w:rPr>
          <w:rFonts w:ascii="宋体" w:hAnsi="宋体" w:cs="宋体"/>
          <w:sz w:val="24"/>
        </w:rPr>
      </w:pPr>
    </w:p>
    <w:p>
      <w:pPr>
        <w:widowControl/>
        <w:spacing w:line="360" w:lineRule="atLeast"/>
        <w:ind w:firstLine="411" w:firstLineChars="196"/>
        <w:jc w:val="left"/>
        <w:outlineLvl w:val="1"/>
        <w:rPr>
          <w:rFonts w:ascii="宋体" w:hAnsi="宋体" w:cs="宋体"/>
          <w:szCs w:val="21"/>
        </w:rPr>
      </w:pPr>
      <w:r>
        <w:rPr>
          <w:rFonts w:hint="eastAsia" w:ascii="宋体" w:hAnsi="宋体" w:cs="宋体"/>
          <w:szCs w:val="21"/>
        </w:rPr>
        <w:t>注：1. 报价应是最终用户验收合格后的总价，报价包括各项税费和消防系统年度检测费。</w:t>
      </w:r>
    </w:p>
    <w:p>
      <w:pPr>
        <w:widowControl/>
        <w:spacing w:line="360" w:lineRule="atLeast"/>
        <w:ind w:firstLine="411" w:firstLineChars="196"/>
        <w:jc w:val="left"/>
        <w:outlineLvl w:val="1"/>
        <w:rPr>
          <w:rFonts w:ascii="宋体" w:hAnsi="宋体" w:cs="宋体"/>
          <w:szCs w:val="21"/>
        </w:rPr>
      </w:pPr>
      <w:r>
        <w:rPr>
          <w:rFonts w:hint="eastAsia" w:ascii="宋体" w:hAnsi="宋体" w:cs="宋体"/>
          <w:szCs w:val="21"/>
        </w:rPr>
        <w:t>2.“开标一览表”为多页的，每页均需由法定代表人或授权代表签字并盖投标人印章。</w:t>
      </w:r>
    </w:p>
    <w:p>
      <w:pPr>
        <w:spacing w:line="400" w:lineRule="exact"/>
        <w:ind w:firstLine="420" w:firstLineChars="200"/>
        <w:rPr>
          <w:rFonts w:ascii="宋体" w:hAnsi="宋体" w:cs="宋体"/>
          <w:szCs w:val="21"/>
        </w:rPr>
      </w:pPr>
      <w:r>
        <w:rPr>
          <w:rFonts w:hint="eastAsia" w:ascii="宋体" w:hAnsi="宋体" w:cs="宋体"/>
          <w:szCs w:val="21"/>
        </w:rPr>
        <w:t>3、“开标一览表”以包为单位填写。</w:t>
      </w:r>
    </w:p>
    <w:p>
      <w:pPr>
        <w:widowControl/>
        <w:spacing w:line="360" w:lineRule="atLeast"/>
        <w:ind w:firstLine="470" w:firstLineChars="196"/>
        <w:jc w:val="left"/>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   （单位公章）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法定代表人或授权代表（签字或加盖个人名章）：     </w:t>
      </w:r>
    </w:p>
    <w:p>
      <w:pPr>
        <w:widowControl/>
        <w:spacing w:line="360" w:lineRule="atLeast"/>
        <w:ind w:firstLine="470" w:firstLineChars="196"/>
        <w:jc w:val="left"/>
        <w:outlineLvl w:val="1"/>
        <w:rPr>
          <w:rFonts w:ascii="宋体" w:hAnsi="宋体" w:cs="宋体"/>
          <w:b/>
          <w:sz w:val="24"/>
        </w:rPr>
        <w:sectPr>
          <w:footerReference r:id="rId5" w:type="default"/>
          <w:pgSz w:w="11850" w:h="16783"/>
          <w:pgMar w:top="1440" w:right="1474" w:bottom="1440" w:left="1474" w:header="851" w:footer="992" w:gutter="0"/>
          <w:pgNumType w:start="1"/>
          <w:cols w:space="720" w:num="1"/>
          <w:docGrid w:linePitch="312" w:charSpace="0"/>
        </w:sectPr>
      </w:pPr>
      <w:r>
        <w:rPr>
          <w:rFonts w:hint="eastAsia" w:ascii="宋体" w:hAnsi="宋体" w:cs="宋体"/>
          <w:sz w:val="24"/>
        </w:rPr>
        <w:t xml:space="preserve">投标日期： </w:t>
      </w:r>
    </w:p>
    <w:bookmarkEnd w:id="189"/>
    <w:p>
      <w:pPr>
        <w:widowControl/>
        <w:spacing w:line="360" w:lineRule="atLeast"/>
        <w:jc w:val="left"/>
        <w:rPr>
          <w:rFonts w:ascii="宋体" w:hAnsi="宋体" w:cs="宋体"/>
          <w:b/>
          <w:sz w:val="24"/>
        </w:rPr>
      </w:pPr>
    </w:p>
    <w:p>
      <w:pPr>
        <w:widowControl/>
        <w:spacing w:line="360" w:lineRule="atLeast"/>
        <w:jc w:val="center"/>
        <w:outlineLvl w:val="1"/>
        <w:rPr>
          <w:rFonts w:ascii="宋体" w:hAnsi="宋体" w:cs="宋体"/>
          <w:b/>
          <w:bCs/>
          <w:sz w:val="24"/>
        </w:rPr>
      </w:pPr>
      <w:r>
        <w:rPr>
          <w:rFonts w:hint="eastAsia" w:ascii="宋体" w:hAnsi="宋体" w:cs="宋体"/>
          <w:b/>
          <w:bCs/>
          <w:sz w:val="24"/>
        </w:rPr>
        <w:t>八、分项报价明细表</w:t>
      </w: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第  包</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4" w:hRule="exact"/>
          <w:jc w:val="center"/>
        </w:trPr>
        <w:tc>
          <w:tcPr>
            <w:tcW w:w="877"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序号</w:t>
            </w:r>
          </w:p>
        </w:tc>
        <w:tc>
          <w:tcPr>
            <w:tcW w:w="1275"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产品名称</w:t>
            </w:r>
          </w:p>
        </w:tc>
        <w:tc>
          <w:tcPr>
            <w:tcW w:w="1360"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规格型号</w:t>
            </w:r>
          </w:p>
        </w:tc>
        <w:tc>
          <w:tcPr>
            <w:tcW w:w="888"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品牌</w:t>
            </w:r>
          </w:p>
        </w:tc>
        <w:tc>
          <w:tcPr>
            <w:tcW w:w="1212"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单位</w:t>
            </w:r>
          </w:p>
        </w:tc>
        <w:tc>
          <w:tcPr>
            <w:tcW w:w="840"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数量</w:t>
            </w:r>
          </w:p>
        </w:tc>
        <w:tc>
          <w:tcPr>
            <w:tcW w:w="841"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单价</w:t>
            </w:r>
            <w:r>
              <w:rPr>
                <w:rFonts w:hint="eastAsia" w:ascii="宋体" w:hAnsi="宋体" w:cs="宋体"/>
                <w:sz w:val="24"/>
              </w:rPr>
              <w:t>（元）</w:t>
            </w:r>
          </w:p>
        </w:tc>
        <w:tc>
          <w:tcPr>
            <w:tcW w:w="876"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金额</w:t>
            </w:r>
            <w:r>
              <w:rPr>
                <w:rFonts w:hint="eastAsia" w:ascii="宋体" w:hAnsi="宋体" w:cs="宋体"/>
                <w:sz w:val="24"/>
              </w:rPr>
              <w:t>（元）</w:t>
            </w:r>
          </w:p>
        </w:tc>
        <w:tc>
          <w:tcPr>
            <w:tcW w:w="843" w:type="dxa"/>
            <w:vAlign w:val="center"/>
          </w:tcPr>
          <w:p>
            <w:pPr>
              <w:widowControl/>
              <w:spacing w:line="360" w:lineRule="atLeast"/>
              <w:outlineLvl w:val="1"/>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color w:val="000000"/>
                <w:sz w:val="24"/>
              </w:rPr>
            </w:pPr>
          </w:p>
        </w:tc>
        <w:tc>
          <w:tcPr>
            <w:tcW w:w="1275" w:type="dxa"/>
            <w:vAlign w:val="center"/>
          </w:tcPr>
          <w:p>
            <w:pPr>
              <w:widowControl/>
              <w:spacing w:line="360" w:lineRule="atLeast"/>
              <w:ind w:firstLine="470" w:firstLineChars="196"/>
              <w:jc w:val="left"/>
              <w:rPr>
                <w:rFonts w:ascii="宋体" w:hAnsi="宋体" w:cs="宋体"/>
                <w:color w:val="000000"/>
                <w:sz w:val="24"/>
              </w:rPr>
            </w:pPr>
          </w:p>
        </w:tc>
        <w:tc>
          <w:tcPr>
            <w:tcW w:w="1360" w:type="dxa"/>
            <w:vAlign w:val="center"/>
          </w:tcPr>
          <w:p>
            <w:pPr>
              <w:widowControl/>
              <w:spacing w:line="360" w:lineRule="atLeast"/>
              <w:ind w:firstLine="470" w:firstLineChars="196"/>
              <w:jc w:val="left"/>
              <w:rPr>
                <w:rFonts w:ascii="宋体" w:hAnsi="宋体" w:cs="宋体"/>
                <w:color w:val="000000"/>
                <w:sz w:val="24"/>
              </w:rPr>
            </w:pPr>
          </w:p>
        </w:tc>
        <w:tc>
          <w:tcPr>
            <w:tcW w:w="888" w:type="dxa"/>
            <w:vAlign w:val="center"/>
          </w:tcPr>
          <w:p>
            <w:pPr>
              <w:widowControl/>
              <w:spacing w:line="360" w:lineRule="atLeast"/>
              <w:ind w:firstLine="470" w:firstLineChars="196"/>
              <w:jc w:val="left"/>
              <w:rPr>
                <w:rFonts w:ascii="宋体" w:hAnsi="宋体" w:cs="宋体"/>
                <w:color w:val="000000"/>
                <w:sz w:val="24"/>
              </w:rPr>
            </w:pPr>
          </w:p>
        </w:tc>
        <w:tc>
          <w:tcPr>
            <w:tcW w:w="1212" w:type="dxa"/>
            <w:vAlign w:val="center"/>
          </w:tcPr>
          <w:p>
            <w:pPr>
              <w:widowControl/>
              <w:spacing w:line="360" w:lineRule="atLeast"/>
              <w:ind w:firstLine="470" w:firstLineChars="196"/>
              <w:jc w:val="left"/>
              <w:rPr>
                <w:rFonts w:ascii="宋体" w:hAnsi="宋体" w:cs="宋体"/>
                <w:color w:val="000000"/>
                <w:sz w:val="24"/>
              </w:rPr>
            </w:pPr>
          </w:p>
        </w:tc>
        <w:tc>
          <w:tcPr>
            <w:tcW w:w="840" w:type="dxa"/>
            <w:vAlign w:val="center"/>
          </w:tcPr>
          <w:p>
            <w:pPr>
              <w:widowControl/>
              <w:spacing w:line="360" w:lineRule="atLeast"/>
              <w:ind w:firstLine="470" w:firstLineChars="196"/>
              <w:jc w:val="left"/>
              <w:rPr>
                <w:rFonts w:ascii="宋体" w:hAnsi="宋体" w:cs="宋体"/>
                <w:color w:val="000000"/>
                <w:sz w:val="24"/>
              </w:rPr>
            </w:pPr>
          </w:p>
        </w:tc>
        <w:tc>
          <w:tcPr>
            <w:tcW w:w="841" w:type="dxa"/>
            <w:vAlign w:val="center"/>
          </w:tcPr>
          <w:p>
            <w:pPr>
              <w:widowControl/>
              <w:spacing w:line="360" w:lineRule="atLeast"/>
              <w:ind w:firstLine="470" w:firstLineChars="196"/>
              <w:jc w:val="left"/>
              <w:rPr>
                <w:rFonts w:ascii="宋体" w:hAnsi="宋体" w:cs="宋体"/>
                <w:color w:val="000000"/>
                <w:sz w:val="24"/>
              </w:rPr>
            </w:pPr>
          </w:p>
        </w:tc>
        <w:tc>
          <w:tcPr>
            <w:tcW w:w="876" w:type="dxa"/>
            <w:vAlign w:val="center"/>
          </w:tcPr>
          <w:p>
            <w:pPr>
              <w:widowControl/>
              <w:spacing w:line="360" w:lineRule="atLeast"/>
              <w:ind w:firstLine="470" w:firstLineChars="196"/>
              <w:jc w:val="left"/>
              <w:rPr>
                <w:rFonts w:ascii="宋体" w:hAnsi="宋体" w:cs="宋体"/>
                <w:color w:val="000000"/>
                <w:sz w:val="24"/>
              </w:rPr>
            </w:pPr>
          </w:p>
        </w:tc>
        <w:tc>
          <w:tcPr>
            <w:tcW w:w="843" w:type="dxa"/>
            <w:vAlign w:val="center"/>
          </w:tcPr>
          <w:p>
            <w:pPr>
              <w:widowControl/>
              <w:spacing w:line="360" w:lineRule="atLeast"/>
              <w:ind w:firstLine="470" w:firstLineChars="196"/>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color w:val="000000"/>
                <w:sz w:val="24"/>
              </w:rPr>
            </w:pPr>
          </w:p>
        </w:tc>
        <w:tc>
          <w:tcPr>
            <w:tcW w:w="6416" w:type="dxa"/>
            <w:gridSpan w:val="6"/>
            <w:tcBorders>
              <w:top w:val="single" w:color="auto" w:sz="4" w:space="0"/>
              <w:bottom w:val="single" w:color="auto" w:sz="4" w:space="0"/>
            </w:tcBorders>
            <w:vAlign w:val="center"/>
          </w:tcPr>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分项报价合计（元）：      大写：</w:t>
            </w:r>
          </w:p>
        </w:tc>
        <w:tc>
          <w:tcPr>
            <w:tcW w:w="876"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color w:val="000000"/>
                <w:sz w:val="24"/>
              </w:rPr>
            </w:pPr>
          </w:p>
        </w:tc>
        <w:tc>
          <w:tcPr>
            <w:tcW w:w="843"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color w:val="000000"/>
                <w:sz w:val="24"/>
              </w:rPr>
            </w:pPr>
          </w:p>
        </w:tc>
      </w:tr>
    </w:tbl>
    <w:p>
      <w:pPr>
        <w:widowControl/>
        <w:spacing w:line="360" w:lineRule="atLeast"/>
        <w:jc w:val="left"/>
        <w:rPr>
          <w:rFonts w:ascii="宋体" w:hAnsi="宋体" w:cs="宋体"/>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注：1、投标人应按“分项报价明细表”的格式详细报出投标总价的各个组成部分的报价。</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    2、“分项报价明细表”各分项报价合计应当与“开标一览表”报价合计相等。</w:t>
      </w:r>
    </w:p>
    <w:p>
      <w:pPr>
        <w:widowControl/>
        <w:spacing w:line="360" w:lineRule="atLeast"/>
        <w:ind w:firstLine="472" w:firstLineChars="196"/>
        <w:jc w:val="left"/>
        <w:rPr>
          <w:rFonts w:ascii="宋体" w:hAnsi="宋体" w:cs="宋体"/>
          <w:b/>
          <w:sz w:val="24"/>
        </w:rPr>
      </w:pP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投标人名称： （单位盖章）</w:t>
      </w: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 xml:space="preserve">法定代表人或授权代表（签字或加盖个人名章）： </w:t>
      </w:r>
    </w:p>
    <w:p>
      <w:pPr>
        <w:widowControl/>
        <w:spacing w:line="360" w:lineRule="atLeast"/>
        <w:ind w:firstLine="470" w:firstLineChars="196"/>
        <w:jc w:val="left"/>
        <w:outlineLvl w:val="1"/>
        <w:rPr>
          <w:rFonts w:ascii="宋体" w:hAnsi="宋体" w:cs="宋体"/>
          <w:b/>
          <w:sz w:val="24"/>
        </w:rPr>
        <w:sectPr>
          <w:pgSz w:w="11850" w:h="16783"/>
          <w:pgMar w:top="1440" w:right="1474" w:bottom="1440" w:left="1474" w:header="851" w:footer="992" w:gutter="0"/>
          <w:cols w:space="720" w:num="1"/>
          <w:docGrid w:linePitch="312" w:charSpace="0"/>
        </w:sectPr>
      </w:pPr>
      <w:r>
        <w:rPr>
          <w:rFonts w:hint="eastAsia" w:ascii="宋体" w:hAnsi="宋体" w:cs="宋体"/>
          <w:sz w:val="24"/>
        </w:rPr>
        <w:t xml:space="preserve">投标日期： </w:t>
      </w:r>
    </w:p>
    <w:p>
      <w:pPr>
        <w:widowControl/>
        <w:spacing w:line="360" w:lineRule="atLeast"/>
        <w:jc w:val="center"/>
        <w:outlineLvl w:val="1"/>
        <w:rPr>
          <w:rFonts w:ascii="宋体" w:hAnsi="宋体" w:cs="宋体"/>
          <w:b/>
          <w:bCs/>
          <w:sz w:val="24"/>
        </w:rPr>
      </w:pPr>
      <w:r>
        <w:rPr>
          <w:rFonts w:hint="eastAsia" w:ascii="宋体" w:hAnsi="宋体" w:cs="宋体"/>
          <w:b/>
          <w:bCs/>
          <w:sz w:val="24"/>
        </w:rPr>
        <w:t>九、商务应答表</w:t>
      </w:r>
      <w:bookmarkEnd w:id="184"/>
      <w:bookmarkEnd w:id="185"/>
      <w:bookmarkEnd w:id="186"/>
      <w:bookmarkEnd w:id="187"/>
      <w:bookmarkEnd w:id="188"/>
    </w:p>
    <w:p>
      <w:pPr>
        <w:pStyle w:val="13"/>
        <w:pBdr>
          <w:bottom w:val="none" w:color="auto" w:sz="0" w:space="0"/>
        </w:pBdr>
        <w:tabs>
          <w:tab w:val="clear" w:pos="4153"/>
          <w:tab w:val="clear" w:pos="8306"/>
        </w:tabs>
        <w:snapToGrid/>
        <w:spacing w:line="400" w:lineRule="exact"/>
        <w:jc w:val="both"/>
        <w:rPr>
          <w:rFonts w:ascii="宋体" w:hAnsi="宋体" w:cs="宋体"/>
          <w:sz w:val="24"/>
          <w:szCs w:val="24"/>
        </w:rPr>
      </w:pPr>
      <w:r>
        <w:rPr>
          <w:rFonts w:hint="eastAsia" w:ascii="宋体" w:hAnsi="宋体" w:cs="宋体"/>
          <w:sz w:val="24"/>
          <w:szCs w:val="24"/>
        </w:rPr>
        <w:t xml:space="preserve">                                       </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516"/>
        <w:gridCol w:w="1516"/>
        <w:gridCol w:w="2249"/>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1516" w:type="dxa"/>
            <w:vAlign w:val="center"/>
          </w:tcPr>
          <w:p>
            <w:pPr>
              <w:spacing w:line="400" w:lineRule="exact"/>
              <w:jc w:val="center"/>
              <w:rPr>
                <w:rFonts w:ascii="宋体" w:hAnsi="宋体" w:cs="宋体"/>
                <w:sz w:val="24"/>
              </w:rPr>
            </w:pPr>
            <w:r>
              <w:rPr>
                <w:rFonts w:hint="eastAsia" w:ascii="宋体" w:hAnsi="宋体" w:cs="宋体"/>
                <w:sz w:val="24"/>
              </w:rPr>
              <w:t>招标文件条目号</w:t>
            </w:r>
          </w:p>
        </w:tc>
        <w:tc>
          <w:tcPr>
            <w:tcW w:w="1516" w:type="dxa"/>
            <w:vAlign w:val="center"/>
          </w:tcPr>
          <w:p>
            <w:pPr>
              <w:spacing w:line="400" w:lineRule="exact"/>
              <w:jc w:val="center"/>
              <w:rPr>
                <w:rFonts w:ascii="宋体" w:hAnsi="宋体" w:cs="宋体"/>
                <w:sz w:val="24"/>
              </w:rPr>
            </w:pPr>
            <w:r>
              <w:rPr>
                <w:rFonts w:hint="eastAsia" w:ascii="宋体" w:hAnsi="宋体" w:cs="宋体"/>
                <w:sz w:val="24"/>
              </w:rPr>
              <w:t>招标要求</w:t>
            </w:r>
          </w:p>
        </w:tc>
        <w:tc>
          <w:tcPr>
            <w:tcW w:w="2249" w:type="dxa"/>
            <w:vAlign w:val="center"/>
          </w:tcPr>
          <w:p>
            <w:pPr>
              <w:spacing w:line="400" w:lineRule="exact"/>
              <w:jc w:val="center"/>
              <w:rPr>
                <w:rFonts w:ascii="宋体" w:hAnsi="宋体" w:cs="宋体"/>
                <w:sz w:val="24"/>
              </w:rPr>
            </w:pPr>
            <w:r>
              <w:rPr>
                <w:rFonts w:hint="eastAsia" w:ascii="宋体" w:hAnsi="宋体" w:cs="宋体"/>
                <w:sz w:val="24"/>
              </w:rPr>
              <w:t>投标应答</w:t>
            </w:r>
          </w:p>
        </w:tc>
        <w:tc>
          <w:tcPr>
            <w:tcW w:w="2249" w:type="dxa"/>
            <w:vAlign w:val="center"/>
          </w:tcPr>
          <w:p>
            <w:pPr>
              <w:spacing w:line="400" w:lineRule="exact"/>
              <w:jc w:val="center"/>
              <w:rPr>
                <w:rFonts w:ascii="宋体" w:hAnsi="宋体" w:cs="宋体"/>
                <w:sz w:val="24"/>
              </w:rPr>
            </w:pPr>
            <w:r>
              <w:rPr>
                <w:rFonts w:hint="eastAsia" w:ascii="宋体" w:hAnsi="宋体" w:cs="宋体"/>
                <w:sz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ind w:left="317" w:hanging="316" w:hangingChars="132"/>
              <w:jc w:val="center"/>
              <w:rPr>
                <w:rFonts w:ascii="宋体" w:hAnsi="宋体" w:cs="宋体"/>
                <w:sz w:val="24"/>
              </w:rPr>
            </w:pPr>
          </w:p>
        </w:tc>
        <w:tc>
          <w:tcPr>
            <w:tcW w:w="2249" w:type="dxa"/>
          </w:tcPr>
          <w:p>
            <w:pPr>
              <w:spacing w:line="400" w:lineRule="exact"/>
              <w:ind w:left="317" w:hanging="316" w:hangingChars="132"/>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1516"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c>
          <w:tcPr>
            <w:tcW w:w="2249" w:type="dxa"/>
          </w:tcPr>
          <w:p>
            <w:pPr>
              <w:spacing w:line="400" w:lineRule="exact"/>
              <w:jc w:val="center"/>
              <w:rPr>
                <w:rFonts w:ascii="宋体" w:hAnsi="宋体" w:cs="宋体"/>
                <w:sz w:val="24"/>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注：供应商必须针对第四章“商务要求”据实填写，逐一响应，不得虚假应答，否则将取消其投标或中标资格。</w:t>
      </w:r>
    </w:p>
    <w:p>
      <w:pPr>
        <w:adjustRightInd w:val="0"/>
        <w:spacing w:line="400" w:lineRule="exact"/>
        <w:ind w:firstLine="420" w:firstLineChars="175"/>
        <w:jc w:val="left"/>
        <w:rPr>
          <w:rFonts w:ascii="宋体" w:hAnsi="宋体" w:cs="宋体"/>
          <w:bCs/>
          <w:sz w:val="24"/>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spacing w:line="400" w:lineRule="exact"/>
        <w:rPr>
          <w:rFonts w:ascii="宋体" w:hAnsi="宋体" w:cs="宋体"/>
          <w:bCs/>
          <w:sz w:val="24"/>
        </w:rPr>
      </w:pPr>
    </w:p>
    <w:p>
      <w:pPr>
        <w:spacing w:line="400" w:lineRule="exact"/>
        <w:rPr>
          <w:rFonts w:ascii="宋体" w:hAnsi="宋体" w:cs="宋体"/>
          <w:bCs/>
          <w:sz w:val="24"/>
        </w:rPr>
      </w:pPr>
    </w:p>
    <w:p>
      <w:pPr>
        <w:rPr>
          <w:rFonts w:ascii="宋体" w:hAnsi="宋体" w:cs="宋体"/>
          <w:kern w:val="0"/>
          <w:sz w:val="24"/>
        </w:rPr>
      </w:pPr>
      <w:bookmarkStart w:id="190" w:name="_Toc217446088"/>
    </w:p>
    <w:p>
      <w:pPr>
        <w:rPr>
          <w:rFonts w:ascii="宋体" w:hAnsi="宋体" w:cs="宋体"/>
          <w:kern w:val="0"/>
          <w:sz w:val="24"/>
        </w:rPr>
      </w:pPr>
    </w:p>
    <w:p>
      <w:pPr>
        <w:rPr>
          <w:rFonts w:ascii="宋体" w:hAnsi="宋体" w:cs="宋体"/>
          <w:kern w:val="0"/>
          <w:sz w:val="24"/>
        </w:rPr>
      </w:pPr>
    </w:p>
    <w:p>
      <w:pPr>
        <w:rPr>
          <w:rFonts w:ascii="宋体" w:hAnsi="宋体" w:cs="宋体"/>
          <w:sz w:val="24"/>
        </w:rPr>
      </w:pPr>
    </w:p>
    <w:p>
      <w:pPr>
        <w:rPr>
          <w:rFonts w:ascii="宋体" w:hAnsi="宋体" w:cs="宋体"/>
          <w:sz w:val="24"/>
        </w:rPr>
      </w:pPr>
    </w:p>
    <w:p>
      <w:pPr>
        <w:pStyle w:val="5"/>
        <w:spacing w:line="400" w:lineRule="exact"/>
        <w:jc w:val="center"/>
        <w:rPr>
          <w:rFonts w:ascii="宋体" w:hAnsi="宋体" w:eastAsia="宋体" w:cs="宋体"/>
          <w:bCs w:val="0"/>
          <w:kern w:val="0"/>
          <w:sz w:val="24"/>
          <w:szCs w:val="24"/>
        </w:rPr>
      </w:pPr>
      <w:bookmarkStart w:id="191" w:name="_Toc365468173"/>
      <w:r>
        <w:rPr>
          <w:rFonts w:hint="eastAsia" w:ascii="宋体" w:hAnsi="宋体" w:eastAsia="宋体" w:cs="宋体"/>
          <w:bCs w:val="0"/>
          <w:kern w:val="0"/>
          <w:sz w:val="24"/>
          <w:szCs w:val="24"/>
        </w:rPr>
        <w:br w:type="page"/>
      </w:r>
      <w:bookmarkStart w:id="192" w:name="_Toc454373576"/>
      <w:bookmarkStart w:id="193" w:name="_Toc30711"/>
      <w:bookmarkStart w:id="194" w:name="_Toc25632"/>
      <w:r>
        <w:rPr>
          <w:rFonts w:hint="eastAsia" w:ascii="宋体" w:hAnsi="宋体" w:eastAsia="宋体" w:cs="宋体"/>
          <w:sz w:val="24"/>
          <w:szCs w:val="24"/>
        </w:rPr>
        <w:t>十、投标人基本情况表</w:t>
      </w:r>
      <w:bookmarkEnd w:id="190"/>
      <w:bookmarkEnd w:id="191"/>
      <w:bookmarkEnd w:id="192"/>
      <w:bookmarkEnd w:id="193"/>
      <w:bookmarkEnd w:id="194"/>
    </w:p>
    <w:tbl>
      <w:tblPr>
        <w:tblStyle w:val="17"/>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3"/>
        <w:gridCol w:w="982"/>
        <w:gridCol w:w="1224"/>
        <w:gridCol w:w="1268"/>
        <w:gridCol w:w="8"/>
        <w:gridCol w:w="1340"/>
        <w:gridCol w:w="163"/>
        <w:gridCol w:w="1027"/>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投标人名称</w:t>
            </w:r>
          </w:p>
        </w:tc>
        <w:tc>
          <w:tcPr>
            <w:tcW w:w="7101" w:type="dxa"/>
            <w:gridSpan w:val="8"/>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注册地址</w:t>
            </w:r>
          </w:p>
        </w:tc>
        <w:tc>
          <w:tcPr>
            <w:tcW w:w="3482" w:type="dxa"/>
            <w:gridSpan w:val="4"/>
            <w:vAlign w:val="center"/>
          </w:tcPr>
          <w:p>
            <w:pPr>
              <w:autoSpaceDE w:val="0"/>
              <w:autoSpaceDN w:val="0"/>
              <w:adjustRightInd w:val="0"/>
              <w:spacing w:line="400" w:lineRule="exact"/>
              <w:jc w:val="center"/>
              <w:rPr>
                <w:rFonts w:ascii="宋体" w:hAnsi="宋体" w:cs="宋体"/>
                <w:kern w:val="0"/>
                <w:sz w:val="24"/>
              </w:rPr>
            </w:pPr>
          </w:p>
        </w:tc>
        <w:tc>
          <w:tcPr>
            <w:tcW w:w="1340"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邮政编码</w:t>
            </w:r>
          </w:p>
        </w:tc>
        <w:tc>
          <w:tcPr>
            <w:tcW w:w="2279" w:type="dxa"/>
            <w:gridSpan w:val="3"/>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Merge w:val="restart"/>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联系方式</w:t>
            </w: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联系人</w:t>
            </w:r>
          </w:p>
        </w:tc>
        <w:tc>
          <w:tcPr>
            <w:tcW w:w="2492" w:type="dxa"/>
            <w:gridSpan w:val="2"/>
            <w:vAlign w:val="center"/>
          </w:tcPr>
          <w:p>
            <w:pPr>
              <w:autoSpaceDE w:val="0"/>
              <w:autoSpaceDN w:val="0"/>
              <w:adjustRightInd w:val="0"/>
              <w:spacing w:line="400" w:lineRule="exact"/>
              <w:jc w:val="center"/>
              <w:rPr>
                <w:rFonts w:ascii="宋体" w:hAnsi="宋体" w:cs="宋体"/>
                <w:kern w:val="0"/>
                <w:sz w:val="24"/>
              </w:rPr>
            </w:pP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电话</w:t>
            </w:r>
          </w:p>
        </w:tc>
        <w:tc>
          <w:tcPr>
            <w:tcW w:w="2279" w:type="dxa"/>
            <w:gridSpan w:val="3"/>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3" w:type="dxa"/>
            <w:vMerge w:val="continue"/>
            <w:vAlign w:val="center"/>
          </w:tcPr>
          <w:p>
            <w:pPr>
              <w:autoSpaceDE w:val="0"/>
              <w:autoSpaceDN w:val="0"/>
              <w:adjustRightInd w:val="0"/>
              <w:spacing w:line="400" w:lineRule="exact"/>
              <w:jc w:val="center"/>
              <w:rPr>
                <w:rFonts w:ascii="宋体" w:hAnsi="宋体" w:cs="宋体"/>
                <w:kern w:val="0"/>
                <w:sz w:val="24"/>
              </w:rPr>
            </w:pP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传真</w:t>
            </w:r>
          </w:p>
        </w:tc>
        <w:tc>
          <w:tcPr>
            <w:tcW w:w="2492" w:type="dxa"/>
            <w:gridSpan w:val="2"/>
            <w:vAlign w:val="center"/>
          </w:tcPr>
          <w:p>
            <w:pPr>
              <w:autoSpaceDE w:val="0"/>
              <w:autoSpaceDN w:val="0"/>
              <w:adjustRightInd w:val="0"/>
              <w:spacing w:line="400" w:lineRule="exact"/>
              <w:jc w:val="center"/>
              <w:rPr>
                <w:rFonts w:ascii="宋体" w:hAnsi="宋体" w:cs="宋体"/>
                <w:kern w:val="0"/>
                <w:sz w:val="24"/>
              </w:rPr>
            </w:pP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网址</w:t>
            </w:r>
          </w:p>
        </w:tc>
        <w:tc>
          <w:tcPr>
            <w:tcW w:w="2279" w:type="dxa"/>
            <w:gridSpan w:val="3"/>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组织结构</w:t>
            </w:r>
          </w:p>
        </w:tc>
        <w:tc>
          <w:tcPr>
            <w:tcW w:w="7101" w:type="dxa"/>
            <w:gridSpan w:val="8"/>
            <w:vAlign w:val="center"/>
          </w:tcPr>
          <w:p>
            <w:pPr>
              <w:autoSpaceDE w:val="0"/>
              <w:autoSpaceDN w:val="0"/>
              <w:adjustRightInd w:val="0"/>
              <w:spacing w:line="400" w:lineRule="exact"/>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法定代表人</w:t>
            </w: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姓名</w:t>
            </w:r>
          </w:p>
        </w:tc>
        <w:tc>
          <w:tcPr>
            <w:tcW w:w="1224" w:type="dxa"/>
            <w:vAlign w:val="center"/>
          </w:tcPr>
          <w:p>
            <w:pPr>
              <w:autoSpaceDE w:val="0"/>
              <w:autoSpaceDN w:val="0"/>
              <w:adjustRightInd w:val="0"/>
              <w:spacing w:line="400" w:lineRule="exact"/>
              <w:jc w:val="center"/>
              <w:rPr>
                <w:rFonts w:ascii="宋体" w:hAnsi="宋体" w:cs="宋体"/>
                <w:kern w:val="0"/>
                <w:sz w:val="24"/>
              </w:rPr>
            </w:pPr>
          </w:p>
        </w:tc>
        <w:tc>
          <w:tcPr>
            <w:tcW w:w="1268"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技术职称</w:t>
            </w: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p>
        </w:tc>
        <w:tc>
          <w:tcPr>
            <w:tcW w:w="1190"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电话</w:t>
            </w:r>
          </w:p>
        </w:tc>
        <w:tc>
          <w:tcPr>
            <w:tcW w:w="1089" w:type="dxa"/>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技术负责人</w:t>
            </w:r>
          </w:p>
        </w:tc>
        <w:tc>
          <w:tcPr>
            <w:tcW w:w="982"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姓名</w:t>
            </w:r>
          </w:p>
        </w:tc>
        <w:tc>
          <w:tcPr>
            <w:tcW w:w="1224" w:type="dxa"/>
            <w:vAlign w:val="center"/>
          </w:tcPr>
          <w:p>
            <w:pPr>
              <w:autoSpaceDE w:val="0"/>
              <w:autoSpaceDN w:val="0"/>
              <w:adjustRightInd w:val="0"/>
              <w:spacing w:line="400" w:lineRule="exact"/>
              <w:jc w:val="center"/>
              <w:rPr>
                <w:rFonts w:ascii="宋体" w:hAnsi="宋体" w:cs="宋体"/>
                <w:kern w:val="0"/>
                <w:sz w:val="24"/>
              </w:rPr>
            </w:pPr>
          </w:p>
        </w:tc>
        <w:tc>
          <w:tcPr>
            <w:tcW w:w="1268"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技术职称</w:t>
            </w:r>
          </w:p>
        </w:tc>
        <w:tc>
          <w:tcPr>
            <w:tcW w:w="1348" w:type="dxa"/>
            <w:gridSpan w:val="2"/>
            <w:vAlign w:val="center"/>
          </w:tcPr>
          <w:p>
            <w:pPr>
              <w:autoSpaceDE w:val="0"/>
              <w:autoSpaceDN w:val="0"/>
              <w:adjustRightInd w:val="0"/>
              <w:spacing w:line="400" w:lineRule="exact"/>
              <w:jc w:val="center"/>
              <w:rPr>
                <w:rFonts w:ascii="宋体" w:hAnsi="宋体" w:cs="宋体"/>
                <w:kern w:val="0"/>
                <w:sz w:val="24"/>
              </w:rPr>
            </w:pPr>
          </w:p>
        </w:tc>
        <w:tc>
          <w:tcPr>
            <w:tcW w:w="1190" w:type="dxa"/>
            <w:gridSpan w:val="2"/>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电话</w:t>
            </w:r>
          </w:p>
        </w:tc>
        <w:tc>
          <w:tcPr>
            <w:tcW w:w="1089" w:type="dxa"/>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成立时间</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4895" w:type="dxa"/>
            <w:gridSpan w:val="6"/>
            <w:vAlign w:val="center"/>
          </w:tcPr>
          <w:p>
            <w:pPr>
              <w:autoSpaceDE w:val="0"/>
              <w:autoSpaceDN w:val="0"/>
              <w:adjustRightInd w:val="0"/>
              <w:spacing w:line="400" w:lineRule="exact"/>
              <w:ind w:firstLine="1680" w:firstLineChars="700"/>
              <w:rPr>
                <w:rFonts w:ascii="宋体" w:hAnsi="宋体" w:cs="宋体"/>
                <w:kern w:val="0"/>
                <w:sz w:val="24"/>
              </w:rPr>
            </w:pPr>
            <w:r>
              <w:rPr>
                <w:rFonts w:hint="eastAsia" w:ascii="宋体" w:hAnsi="宋体" w:cs="宋体"/>
                <w:kern w:val="0"/>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企业资质等级</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restart"/>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其中</w:t>
            </w: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项目经理</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营业执照号</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高级职称人员</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注册资金</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中级职称人员</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开户银行</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初级职称人员</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账号</w:t>
            </w:r>
          </w:p>
        </w:tc>
        <w:tc>
          <w:tcPr>
            <w:tcW w:w="2206" w:type="dxa"/>
            <w:gridSpan w:val="2"/>
            <w:vAlign w:val="center"/>
          </w:tcPr>
          <w:p>
            <w:pPr>
              <w:autoSpaceDE w:val="0"/>
              <w:autoSpaceDN w:val="0"/>
              <w:adjustRightInd w:val="0"/>
              <w:spacing w:line="400" w:lineRule="exact"/>
              <w:jc w:val="center"/>
              <w:rPr>
                <w:rFonts w:ascii="宋体" w:hAnsi="宋体" w:cs="宋体"/>
                <w:kern w:val="0"/>
                <w:sz w:val="24"/>
              </w:rPr>
            </w:pPr>
          </w:p>
        </w:tc>
        <w:tc>
          <w:tcPr>
            <w:tcW w:w="1268" w:type="dxa"/>
            <w:vMerge w:val="continue"/>
            <w:vAlign w:val="center"/>
          </w:tcPr>
          <w:p>
            <w:pPr>
              <w:autoSpaceDE w:val="0"/>
              <w:autoSpaceDN w:val="0"/>
              <w:adjustRightInd w:val="0"/>
              <w:spacing w:line="400" w:lineRule="exact"/>
              <w:jc w:val="center"/>
              <w:rPr>
                <w:rFonts w:ascii="宋体" w:hAnsi="宋体" w:cs="宋体"/>
                <w:kern w:val="0"/>
                <w:sz w:val="24"/>
              </w:rPr>
            </w:pPr>
          </w:p>
        </w:tc>
        <w:tc>
          <w:tcPr>
            <w:tcW w:w="1511" w:type="dxa"/>
            <w:gridSpan w:val="3"/>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技工</w:t>
            </w:r>
          </w:p>
        </w:tc>
        <w:tc>
          <w:tcPr>
            <w:tcW w:w="2116" w:type="dxa"/>
            <w:gridSpan w:val="2"/>
            <w:vAlign w:val="center"/>
          </w:tcPr>
          <w:p>
            <w:pPr>
              <w:autoSpaceDE w:val="0"/>
              <w:autoSpaceDN w:val="0"/>
              <w:adjustRightInd w:val="0"/>
              <w:spacing w:line="400" w:lineRule="exact"/>
              <w:jc w:val="center"/>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011" w:hRule="atLeast"/>
        </w:trPr>
        <w:tc>
          <w:tcPr>
            <w:tcW w:w="1523" w:type="dxa"/>
            <w:vAlign w:val="center"/>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经营范围</w:t>
            </w:r>
          </w:p>
        </w:tc>
        <w:tc>
          <w:tcPr>
            <w:tcW w:w="7101" w:type="dxa"/>
            <w:gridSpan w:val="8"/>
            <w:vAlign w:val="center"/>
          </w:tcPr>
          <w:p>
            <w:pPr>
              <w:autoSpaceDE w:val="0"/>
              <w:autoSpaceDN w:val="0"/>
              <w:adjustRightInd w:val="0"/>
              <w:spacing w:line="400" w:lineRule="exact"/>
              <w:rPr>
                <w:rFonts w:ascii="宋体" w:hAnsi="宋体" w:cs="宋体"/>
                <w:b/>
                <w:bCs/>
                <w:kern w:val="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3" w:type="dxa"/>
          </w:tcPr>
          <w:p>
            <w:pPr>
              <w:autoSpaceDE w:val="0"/>
              <w:autoSpaceDN w:val="0"/>
              <w:adjustRightInd w:val="0"/>
              <w:spacing w:line="400" w:lineRule="exact"/>
              <w:jc w:val="center"/>
              <w:rPr>
                <w:rFonts w:ascii="宋体" w:hAnsi="宋体" w:cs="宋体"/>
                <w:kern w:val="0"/>
                <w:sz w:val="24"/>
              </w:rPr>
            </w:pPr>
            <w:r>
              <w:rPr>
                <w:rFonts w:hint="eastAsia" w:ascii="宋体" w:hAnsi="宋体" w:cs="宋体"/>
                <w:kern w:val="0"/>
                <w:sz w:val="24"/>
              </w:rPr>
              <w:t>备注</w:t>
            </w:r>
          </w:p>
        </w:tc>
        <w:tc>
          <w:tcPr>
            <w:tcW w:w="7101" w:type="dxa"/>
            <w:gridSpan w:val="8"/>
          </w:tcPr>
          <w:p>
            <w:pPr>
              <w:autoSpaceDE w:val="0"/>
              <w:autoSpaceDN w:val="0"/>
              <w:adjustRightInd w:val="0"/>
              <w:spacing w:line="400" w:lineRule="exact"/>
              <w:jc w:val="left"/>
              <w:rPr>
                <w:rFonts w:ascii="宋体" w:hAnsi="宋体" w:cs="宋体"/>
                <w:kern w:val="0"/>
                <w:sz w:val="24"/>
              </w:rPr>
            </w:pPr>
          </w:p>
        </w:tc>
      </w:tr>
    </w:tbl>
    <w:p>
      <w:pPr>
        <w:rPr>
          <w:rFonts w:ascii="宋体" w:hAnsi="宋体" w:cs="宋体"/>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420" w:firstLineChars="175"/>
        <w:jc w:val="left"/>
        <w:rPr>
          <w:rFonts w:ascii="宋体" w:hAnsi="宋体" w:cs="宋体"/>
          <w:sz w:val="24"/>
        </w:rPr>
      </w:pPr>
      <w:bookmarkStart w:id="195" w:name="_Toc365468174"/>
      <w:bookmarkStart w:id="196" w:name="_Toc454373577"/>
      <w:r>
        <w:rPr>
          <w:rFonts w:hint="eastAsia" w:ascii="宋体" w:hAnsi="宋体" w:cs="宋体"/>
          <w:sz w:val="24"/>
        </w:rPr>
        <w:t>投标日期:</w:t>
      </w:r>
      <w:bookmarkEnd w:id="195"/>
      <w:bookmarkEnd w:id="196"/>
    </w:p>
    <w:p>
      <w:pPr>
        <w:pStyle w:val="5"/>
        <w:spacing w:line="400" w:lineRule="exact"/>
        <w:jc w:val="center"/>
        <w:rPr>
          <w:rFonts w:ascii="宋体" w:hAnsi="宋体" w:eastAsia="宋体" w:cs="宋体"/>
          <w:bCs w:val="0"/>
          <w:sz w:val="24"/>
          <w:szCs w:val="24"/>
        </w:rPr>
      </w:pPr>
      <w:bookmarkStart w:id="197" w:name="_Toc217446089"/>
      <w:bookmarkStart w:id="198" w:name="_Toc365468175"/>
      <w:r>
        <w:rPr>
          <w:rFonts w:hint="eastAsia" w:ascii="宋体" w:hAnsi="宋体" w:eastAsia="宋体" w:cs="宋体"/>
          <w:bCs w:val="0"/>
          <w:sz w:val="24"/>
          <w:szCs w:val="24"/>
        </w:rPr>
        <w:br w:type="page"/>
      </w:r>
      <w:bookmarkStart w:id="199" w:name="_Toc29495"/>
      <w:bookmarkStart w:id="200" w:name="_Toc454373578"/>
      <w:bookmarkStart w:id="201" w:name="_Toc15588"/>
      <w:r>
        <w:rPr>
          <w:rFonts w:hint="eastAsia" w:ascii="宋体" w:hAnsi="宋体" w:eastAsia="宋体" w:cs="宋体"/>
          <w:sz w:val="24"/>
          <w:szCs w:val="24"/>
        </w:rPr>
        <w:t>十一、投标人类似项目业绩一览表</w:t>
      </w:r>
      <w:bookmarkEnd w:id="197"/>
      <w:bookmarkEnd w:id="198"/>
      <w:bookmarkEnd w:id="199"/>
      <w:bookmarkEnd w:id="200"/>
      <w:bookmarkEnd w:id="201"/>
    </w:p>
    <w:p>
      <w:pPr>
        <w:rPr>
          <w:rFonts w:ascii="宋体" w:hAnsi="宋体" w:cs="宋体"/>
        </w:rPr>
      </w:pPr>
      <w:r>
        <w:rPr>
          <w:rFonts w:hint="eastAsia" w:ascii="宋体" w:hAnsi="宋体" w:cs="宋体"/>
          <w:bCs/>
          <w:szCs w:val="21"/>
        </w:rPr>
        <w:t>提供近三年业绩证明材料，以供货合同或中标通知书为准。复印件加盖公司鲜章。</w:t>
      </w:r>
    </w:p>
    <w:p>
      <w:pPr>
        <w:spacing w:line="400" w:lineRule="exact"/>
        <w:rPr>
          <w:rFonts w:ascii="宋体" w:hAnsi="宋体" w:cs="宋体"/>
          <w:sz w:val="24"/>
        </w:rPr>
      </w:pPr>
    </w:p>
    <w:tbl>
      <w:tblPr>
        <w:tblStyle w:val="17"/>
        <w:tblW w:w="887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135"/>
        <w:gridCol w:w="1701"/>
        <w:gridCol w:w="1417"/>
        <w:gridCol w:w="1355"/>
        <w:gridCol w:w="1785"/>
        <w:gridCol w:w="14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tcBorders>
              <w:top w:val="single" w:color="auto" w:sz="4" w:space="0"/>
            </w:tcBorders>
            <w:vAlign w:val="center"/>
          </w:tcPr>
          <w:p>
            <w:pPr>
              <w:spacing w:line="400" w:lineRule="exact"/>
              <w:ind w:firstLine="120" w:firstLineChars="50"/>
              <w:rPr>
                <w:rFonts w:ascii="宋体" w:hAnsi="宋体" w:cs="宋体"/>
                <w:b/>
                <w:sz w:val="24"/>
              </w:rPr>
            </w:pPr>
            <w:r>
              <w:rPr>
                <w:rFonts w:hint="eastAsia" w:ascii="宋体" w:hAnsi="宋体" w:cs="宋体"/>
                <w:b/>
                <w:sz w:val="24"/>
              </w:rPr>
              <w:t>年份</w:t>
            </w:r>
          </w:p>
        </w:tc>
        <w:tc>
          <w:tcPr>
            <w:tcW w:w="1701" w:type="dxa"/>
            <w:vAlign w:val="center"/>
          </w:tcPr>
          <w:p>
            <w:pPr>
              <w:spacing w:line="400" w:lineRule="exact"/>
              <w:jc w:val="center"/>
              <w:rPr>
                <w:rFonts w:ascii="宋体" w:hAnsi="宋体" w:cs="宋体"/>
                <w:b/>
                <w:sz w:val="24"/>
              </w:rPr>
            </w:pPr>
            <w:r>
              <w:rPr>
                <w:rFonts w:hint="eastAsia" w:ascii="宋体" w:hAnsi="宋体" w:cs="宋体"/>
                <w:b/>
                <w:sz w:val="24"/>
              </w:rPr>
              <w:t>用户名称</w:t>
            </w:r>
          </w:p>
        </w:tc>
        <w:tc>
          <w:tcPr>
            <w:tcW w:w="1417" w:type="dxa"/>
            <w:vAlign w:val="center"/>
          </w:tcPr>
          <w:p>
            <w:pPr>
              <w:spacing w:line="400" w:lineRule="exact"/>
              <w:jc w:val="center"/>
              <w:rPr>
                <w:rFonts w:ascii="宋体" w:hAnsi="宋体" w:cs="宋体"/>
                <w:b/>
                <w:sz w:val="24"/>
              </w:rPr>
            </w:pPr>
            <w:r>
              <w:rPr>
                <w:rFonts w:hint="eastAsia" w:ascii="宋体" w:hAnsi="宋体" w:cs="宋体"/>
                <w:b/>
                <w:sz w:val="24"/>
              </w:rPr>
              <w:t>项目名称</w:t>
            </w:r>
          </w:p>
        </w:tc>
        <w:tc>
          <w:tcPr>
            <w:tcW w:w="1355" w:type="dxa"/>
            <w:vAlign w:val="center"/>
          </w:tcPr>
          <w:p>
            <w:pPr>
              <w:spacing w:line="400" w:lineRule="exact"/>
              <w:jc w:val="center"/>
              <w:rPr>
                <w:rFonts w:ascii="宋体" w:hAnsi="宋体" w:cs="宋体"/>
                <w:b/>
                <w:sz w:val="24"/>
              </w:rPr>
            </w:pPr>
            <w:r>
              <w:rPr>
                <w:rFonts w:hint="eastAsia" w:ascii="宋体" w:hAnsi="宋体" w:cs="宋体"/>
                <w:b/>
                <w:sz w:val="24"/>
              </w:rPr>
              <w:t>完成时间</w:t>
            </w:r>
          </w:p>
        </w:tc>
        <w:tc>
          <w:tcPr>
            <w:tcW w:w="1785" w:type="dxa"/>
            <w:vAlign w:val="center"/>
          </w:tcPr>
          <w:p>
            <w:pPr>
              <w:spacing w:line="400" w:lineRule="exact"/>
              <w:ind w:firstLine="120" w:firstLineChars="50"/>
              <w:rPr>
                <w:rFonts w:ascii="宋体" w:hAnsi="宋体" w:cs="宋体"/>
                <w:b/>
                <w:sz w:val="24"/>
              </w:rPr>
            </w:pPr>
            <w:r>
              <w:rPr>
                <w:rFonts w:hint="eastAsia" w:ascii="宋体" w:hAnsi="宋体" w:cs="宋体"/>
                <w:b/>
                <w:sz w:val="24"/>
              </w:rPr>
              <w:t>合同金额（元）</w:t>
            </w:r>
          </w:p>
        </w:tc>
        <w:tc>
          <w:tcPr>
            <w:tcW w:w="1481" w:type="dxa"/>
            <w:tcBorders>
              <w:left w:val="single" w:color="auto" w:sz="4" w:space="0"/>
            </w:tcBorders>
            <w:vAlign w:val="center"/>
          </w:tcPr>
          <w:p>
            <w:pPr>
              <w:spacing w:line="400" w:lineRule="exact"/>
              <w:rPr>
                <w:rFonts w:ascii="宋体" w:hAnsi="宋体" w:cs="宋体"/>
                <w:b/>
                <w:sz w:val="24"/>
              </w:rPr>
            </w:pPr>
            <w:r>
              <w:rPr>
                <w:rFonts w:hint="eastAsia" w:ascii="宋体" w:hAnsi="宋体" w:cs="宋体"/>
                <w:b/>
                <w:sz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tcBorders>
              <w:right w:val="single" w:color="auto" w:sz="4" w:space="0"/>
            </w:tcBorders>
            <w:vAlign w:val="center"/>
          </w:tcPr>
          <w:p>
            <w:pPr>
              <w:spacing w:line="400" w:lineRule="exact"/>
              <w:jc w:val="center"/>
              <w:rPr>
                <w:rFonts w:ascii="宋体" w:hAnsi="宋体" w:cs="宋体"/>
                <w:sz w:val="24"/>
              </w:rPr>
            </w:pPr>
          </w:p>
        </w:tc>
        <w:tc>
          <w:tcPr>
            <w:tcW w:w="1417" w:type="dxa"/>
            <w:tcBorders>
              <w:left w:val="single" w:color="auto" w:sz="4" w:space="0"/>
            </w:tcBorders>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3" w:hRule="atLeast"/>
          <w:jc w:val="center"/>
        </w:trPr>
        <w:tc>
          <w:tcPr>
            <w:tcW w:w="1135" w:type="dxa"/>
            <w:tcBorders>
              <w:right w:val="single" w:color="auto" w:sz="4" w:space="0"/>
            </w:tcBorders>
            <w:vAlign w:val="center"/>
          </w:tcPr>
          <w:p>
            <w:pPr>
              <w:spacing w:line="400" w:lineRule="exact"/>
              <w:jc w:val="center"/>
              <w:rPr>
                <w:rFonts w:ascii="宋体" w:hAnsi="宋体" w:cs="宋体"/>
                <w:sz w:val="24"/>
              </w:rPr>
            </w:pPr>
          </w:p>
        </w:tc>
        <w:tc>
          <w:tcPr>
            <w:tcW w:w="1701"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417"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355"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785" w:type="dxa"/>
            <w:tcBorders>
              <w:left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tcBorders>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tcBorders>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135" w:type="dxa"/>
            <w:vAlign w:val="center"/>
          </w:tcPr>
          <w:p>
            <w:pPr>
              <w:spacing w:line="400" w:lineRule="exact"/>
              <w:jc w:val="center"/>
              <w:rPr>
                <w:rFonts w:ascii="宋体" w:hAnsi="宋体" w:cs="宋体"/>
                <w:sz w:val="24"/>
              </w:rPr>
            </w:pPr>
          </w:p>
        </w:tc>
        <w:tc>
          <w:tcPr>
            <w:tcW w:w="1701" w:type="dxa"/>
            <w:vAlign w:val="center"/>
          </w:tcPr>
          <w:p>
            <w:pPr>
              <w:spacing w:line="400" w:lineRule="exact"/>
              <w:jc w:val="center"/>
              <w:rPr>
                <w:rFonts w:ascii="宋体" w:hAnsi="宋体" w:cs="宋体"/>
                <w:sz w:val="24"/>
              </w:rPr>
            </w:pPr>
          </w:p>
        </w:tc>
        <w:tc>
          <w:tcPr>
            <w:tcW w:w="1417" w:type="dxa"/>
            <w:vAlign w:val="center"/>
          </w:tcPr>
          <w:p>
            <w:pPr>
              <w:spacing w:line="400" w:lineRule="exact"/>
              <w:jc w:val="center"/>
              <w:rPr>
                <w:rFonts w:ascii="宋体" w:hAnsi="宋体" w:cs="宋体"/>
                <w:sz w:val="24"/>
              </w:rPr>
            </w:pPr>
          </w:p>
        </w:tc>
        <w:tc>
          <w:tcPr>
            <w:tcW w:w="1355" w:type="dxa"/>
            <w:vAlign w:val="center"/>
          </w:tcPr>
          <w:p>
            <w:pPr>
              <w:spacing w:line="400" w:lineRule="exact"/>
              <w:jc w:val="center"/>
              <w:rPr>
                <w:rFonts w:ascii="宋体" w:hAnsi="宋体" w:cs="宋体"/>
                <w:sz w:val="24"/>
              </w:rPr>
            </w:pPr>
          </w:p>
        </w:tc>
        <w:tc>
          <w:tcPr>
            <w:tcW w:w="1785" w:type="dxa"/>
            <w:tcBorders>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4" w:hRule="atLeast"/>
          <w:jc w:val="center"/>
        </w:trPr>
        <w:tc>
          <w:tcPr>
            <w:tcW w:w="1135" w:type="dxa"/>
            <w:tcBorders>
              <w:bottom w:val="single" w:color="auto" w:sz="4" w:space="0"/>
            </w:tcBorders>
            <w:vAlign w:val="center"/>
          </w:tcPr>
          <w:p>
            <w:pPr>
              <w:spacing w:line="400" w:lineRule="exact"/>
              <w:jc w:val="center"/>
              <w:rPr>
                <w:rFonts w:ascii="宋体" w:hAnsi="宋体" w:cs="宋体"/>
                <w:sz w:val="24"/>
              </w:rPr>
            </w:pPr>
          </w:p>
        </w:tc>
        <w:tc>
          <w:tcPr>
            <w:tcW w:w="1701" w:type="dxa"/>
            <w:tcBorders>
              <w:bottom w:val="single" w:color="auto" w:sz="4" w:space="0"/>
            </w:tcBorders>
            <w:vAlign w:val="center"/>
          </w:tcPr>
          <w:p>
            <w:pPr>
              <w:spacing w:line="400" w:lineRule="exact"/>
              <w:jc w:val="center"/>
              <w:rPr>
                <w:rFonts w:ascii="宋体" w:hAnsi="宋体" w:cs="宋体"/>
                <w:sz w:val="24"/>
              </w:rPr>
            </w:pPr>
          </w:p>
        </w:tc>
        <w:tc>
          <w:tcPr>
            <w:tcW w:w="1417" w:type="dxa"/>
            <w:tcBorders>
              <w:bottom w:val="single" w:color="auto" w:sz="4" w:space="0"/>
            </w:tcBorders>
            <w:vAlign w:val="center"/>
          </w:tcPr>
          <w:p>
            <w:pPr>
              <w:spacing w:line="400" w:lineRule="exact"/>
              <w:jc w:val="center"/>
              <w:rPr>
                <w:rFonts w:ascii="宋体" w:hAnsi="宋体" w:cs="宋体"/>
                <w:sz w:val="24"/>
              </w:rPr>
            </w:pPr>
          </w:p>
        </w:tc>
        <w:tc>
          <w:tcPr>
            <w:tcW w:w="1355" w:type="dxa"/>
            <w:tcBorders>
              <w:bottom w:val="single" w:color="auto" w:sz="4" w:space="0"/>
            </w:tcBorders>
            <w:vAlign w:val="center"/>
          </w:tcPr>
          <w:p>
            <w:pPr>
              <w:spacing w:line="400" w:lineRule="exact"/>
              <w:jc w:val="center"/>
              <w:rPr>
                <w:rFonts w:ascii="宋体" w:hAnsi="宋体" w:cs="宋体"/>
                <w:sz w:val="24"/>
              </w:rPr>
            </w:pPr>
          </w:p>
        </w:tc>
        <w:tc>
          <w:tcPr>
            <w:tcW w:w="1785" w:type="dxa"/>
            <w:tcBorders>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13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13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80" w:hRule="atLeast"/>
          <w:jc w:val="center"/>
        </w:trPr>
        <w:tc>
          <w:tcPr>
            <w:tcW w:w="113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bottom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3" w:hRule="atLeast"/>
          <w:jc w:val="center"/>
        </w:trPr>
        <w:tc>
          <w:tcPr>
            <w:tcW w:w="1135" w:type="dxa"/>
            <w:tcBorders>
              <w:top w:val="single" w:color="auto" w:sz="4" w:space="0"/>
            </w:tcBorders>
            <w:vAlign w:val="center"/>
          </w:tcPr>
          <w:p>
            <w:pPr>
              <w:spacing w:line="400" w:lineRule="exact"/>
              <w:jc w:val="center"/>
              <w:rPr>
                <w:rFonts w:ascii="宋体" w:hAnsi="宋体" w:cs="宋体"/>
                <w:sz w:val="24"/>
              </w:rPr>
            </w:pPr>
          </w:p>
        </w:tc>
        <w:tc>
          <w:tcPr>
            <w:tcW w:w="1701" w:type="dxa"/>
            <w:tcBorders>
              <w:top w:val="single" w:color="auto" w:sz="4" w:space="0"/>
            </w:tcBorders>
            <w:vAlign w:val="center"/>
          </w:tcPr>
          <w:p>
            <w:pPr>
              <w:spacing w:line="400" w:lineRule="exact"/>
              <w:jc w:val="center"/>
              <w:rPr>
                <w:rFonts w:ascii="宋体" w:hAnsi="宋体" w:cs="宋体"/>
                <w:sz w:val="24"/>
              </w:rPr>
            </w:pPr>
          </w:p>
        </w:tc>
        <w:tc>
          <w:tcPr>
            <w:tcW w:w="1417" w:type="dxa"/>
            <w:tcBorders>
              <w:top w:val="single" w:color="auto" w:sz="4" w:space="0"/>
            </w:tcBorders>
            <w:vAlign w:val="center"/>
          </w:tcPr>
          <w:p>
            <w:pPr>
              <w:spacing w:line="400" w:lineRule="exact"/>
              <w:jc w:val="center"/>
              <w:rPr>
                <w:rFonts w:ascii="宋体" w:hAnsi="宋体" w:cs="宋体"/>
                <w:sz w:val="24"/>
              </w:rPr>
            </w:pPr>
          </w:p>
        </w:tc>
        <w:tc>
          <w:tcPr>
            <w:tcW w:w="1355" w:type="dxa"/>
            <w:tcBorders>
              <w:top w:val="single" w:color="auto" w:sz="4" w:space="0"/>
            </w:tcBorders>
            <w:vAlign w:val="center"/>
          </w:tcPr>
          <w:p>
            <w:pPr>
              <w:spacing w:line="400" w:lineRule="exact"/>
              <w:jc w:val="center"/>
              <w:rPr>
                <w:rFonts w:ascii="宋体" w:hAnsi="宋体" w:cs="宋体"/>
                <w:sz w:val="24"/>
              </w:rPr>
            </w:pPr>
          </w:p>
        </w:tc>
        <w:tc>
          <w:tcPr>
            <w:tcW w:w="1785" w:type="dxa"/>
            <w:tcBorders>
              <w:top w:val="single" w:color="auto" w:sz="4" w:space="0"/>
              <w:right w:val="single" w:color="auto" w:sz="4" w:space="0"/>
            </w:tcBorders>
            <w:vAlign w:val="center"/>
          </w:tcPr>
          <w:p>
            <w:pPr>
              <w:spacing w:line="400" w:lineRule="exact"/>
              <w:jc w:val="center"/>
              <w:rPr>
                <w:rFonts w:ascii="宋体" w:hAnsi="宋体" w:cs="宋体"/>
                <w:sz w:val="24"/>
              </w:rPr>
            </w:pPr>
          </w:p>
        </w:tc>
        <w:tc>
          <w:tcPr>
            <w:tcW w:w="1481" w:type="dxa"/>
            <w:tcBorders>
              <w:top w:val="single" w:color="auto" w:sz="4" w:space="0"/>
              <w:left w:val="single" w:color="auto" w:sz="4" w:space="0"/>
            </w:tcBorders>
            <w:vAlign w:val="center"/>
          </w:tcPr>
          <w:p>
            <w:pPr>
              <w:spacing w:line="400" w:lineRule="exact"/>
              <w:jc w:val="center"/>
              <w:rPr>
                <w:rFonts w:ascii="宋体" w:hAnsi="宋体" w:cs="宋体"/>
                <w:sz w:val="24"/>
              </w:rPr>
            </w:pPr>
          </w:p>
        </w:tc>
      </w:tr>
    </w:tbl>
    <w:p>
      <w:pPr>
        <w:rPr>
          <w:rFonts w:ascii="宋体" w:hAnsi="宋体" w:cs="宋体"/>
        </w:rPr>
      </w:pPr>
      <w:r>
        <w:rPr>
          <w:rFonts w:hint="eastAsia" w:ascii="宋体" w:hAnsi="宋体" w:cs="宋体"/>
          <w:sz w:val="24"/>
        </w:rPr>
        <w:t>注：投标人（仅限于投标人自己实施的）以上业绩需提供有关书面证明材料。“合同金额”需提供合同复印件。</w:t>
      </w:r>
    </w:p>
    <w:p>
      <w:pPr>
        <w:spacing w:line="400" w:lineRule="exact"/>
        <w:ind w:left="360"/>
        <w:jc w:val="center"/>
        <w:rPr>
          <w:rFonts w:ascii="宋体" w:hAnsi="宋体" w:cs="宋体"/>
          <w:sz w:val="24"/>
        </w:rPr>
      </w:pPr>
    </w:p>
    <w:p>
      <w:pPr>
        <w:spacing w:line="400" w:lineRule="exact"/>
        <w:ind w:left="360"/>
        <w:jc w:val="center"/>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540" w:firstLineChars="22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widowControl/>
        <w:spacing w:line="360" w:lineRule="atLeast"/>
        <w:jc w:val="center"/>
        <w:rPr>
          <w:rFonts w:ascii="宋体" w:hAnsi="宋体" w:cs="宋体"/>
          <w:b/>
          <w:bCs/>
          <w:sz w:val="24"/>
        </w:rPr>
      </w:pPr>
      <w:bookmarkStart w:id="202" w:name="_Toc217446090"/>
      <w:bookmarkStart w:id="203" w:name="_Toc43"/>
      <w:bookmarkStart w:id="204" w:name="_Toc454373579"/>
      <w:bookmarkStart w:id="205" w:name="_Toc365468176"/>
      <w:bookmarkStart w:id="206" w:name="_Toc24498"/>
    </w:p>
    <w:p>
      <w:pPr>
        <w:widowControl/>
        <w:spacing w:line="360" w:lineRule="atLeast"/>
        <w:jc w:val="center"/>
        <w:rPr>
          <w:rFonts w:ascii="宋体" w:hAnsi="宋体" w:cs="宋体"/>
          <w:b/>
          <w:bCs/>
          <w:sz w:val="24"/>
        </w:rPr>
      </w:pPr>
    </w:p>
    <w:p>
      <w:pPr>
        <w:widowControl/>
        <w:spacing w:line="360" w:lineRule="atLeast"/>
        <w:rPr>
          <w:rFonts w:ascii="宋体" w:hAnsi="宋体" w:cs="宋体"/>
          <w:b/>
          <w:bCs/>
          <w:sz w:val="24"/>
        </w:rPr>
      </w:pPr>
    </w:p>
    <w:p>
      <w:pPr>
        <w:widowControl/>
        <w:spacing w:line="360" w:lineRule="atLeast"/>
        <w:jc w:val="center"/>
        <w:outlineLvl w:val="1"/>
        <w:rPr>
          <w:rFonts w:ascii="宋体" w:hAnsi="宋体" w:cs="宋体"/>
          <w:b/>
          <w:bCs/>
          <w:sz w:val="24"/>
        </w:rPr>
      </w:pPr>
      <w:r>
        <w:rPr>
          <w:rFonts w:hint="eastAsia" w:ascii="宋体" w:hAnsi="宋体" w:cs="宋体"/>
          <w:b/>
          <w:bCs/>
          <w:sz w:val="24"/>
        </w:rPr>
        <w:t>十二、</w:t>
      </w:r>
      <w:bookmarkEnd w:id="202"/>
      <w:bookmarkEnd w:id="203"/>
      <w:bookmarkEnd w:id="204"/>
      <w:bookmarkEnd w:id="205"/>
      <w:bookmarkEnd w:id="206"/>
      <w:r>
        <w:rPr>
          <w:rFonts w:hint="eastAsia" w:ascii="宋体" w:hAnsi="宋体" w:cs="宋体"/>
          <w:b/>
          <w:bCs/>
          <w:sz w:val="24"/>
        </w:rPr>
        <w:t>投标产品技术参数表</w:t>
      </w:r>
    </w:p>
    <w:p>
      <w:pPr>
        <w:widowControl/>
        <w:spacing w:line="360" w:lineRule="atLeast"/>
        <w:ind w:firstLine="472" w:firstLineChars="196"/>
        <w:jc w:val="left"/>
        <w:rPr>
          <w:rFonts w:ascii="宋体" w:hAnsi="宋体" w:cs="宋体"/>
          <w:b/>
          <w:sz w:val="24"/>
        </w:rPr>
      </w:pPr>
    </w:p>
    <w:p>
      <w:pPr>
        <w:widowControl/>
        <w:spacing w:line="360" w:lineRule="atLeast"/>
        <w:ind w:firstLine="470" w:firstLineChars="196"/>
        <w:jc w:val="left"/>
        <w:outlineLvl w:val="1"/>
        <w:rPr>
          <w:rFonts w:ascii="宋体" w:hAnsi="宋体" w:cs="宋体"/>
          <w:sz w:val="24"/>
        </w:rPr>
      </w:pPr>
      <w:r>
        <w:rPr>
          <w:rFonts w:hint="eastAsia" w:ascii="宋体" w:hAnsi="宋体" w:cs="宋体"/>
          <w:sz w:val="24"/>
        </w:rPr>
        <w:t>第   包</w:t>
      </w:r>
    </w:p>
    <w:tbl>
      <w:tblPr>
        <w:tblStyle w:val="17"/>
        <w:tblW w:w="8798"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90"/>
        <w:gridCol w:w="1999"/>
        <w:gridCol w:w="258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70" w:type="dxa"/>
            <w:vAlign w:val="center"/>
          </w:tcPr>
          <w:p>
            <w:pPr>
              <w:pStyle w:val="28"/>
              <w:rPr>
                <w:rFonts w:ascii="宋体" w:hAnsi="宋体" w:cs="宋体"/>
                <w:sz w:val="24"/>
                <w:szCs w:val="32"/>
              </w:rPr>
            </w:pPr>
            <w:r>
              <w:rPr>
                <w:rFonts w:hint="eastAsia" w:ascii="宋体" w:hAnsi="宋体" w:cs="宋体"/>
                <w:sz w:val="24"/>
                <w:szCs w:val="32"/>
              </w:rPr>
              <w:t>序号</w:t>
            </w:r>
          </w:p>
        </w:tc>
        <w:tc>
          <w:tcPr>
            <w:tcW w:w="1290" w:type="dxa"/>
            <w:vAlign w:val="center"/>
          </w:tcPr>
          <w:p>
            <w:pPr>
              <w:pStyle w:val="28"/>
              <w:rPr>
                <w:rFonts w:ascii="宋体" w:hAnsi="宋体" w:cs="宋体"/>
                <w:sz w:val="24"/>
                <w:szCs w:val="32"/>
              </w:rPr>
            </w:pPr>
            <w:r>
              <w:rPr>
                <w:rFonts w:hint="eastAsia" w:ascii="宋体" w:hAnsi="宋体" w:cs="宋体"/>
                <w:sz w:val="24"/>
                <w:szCs w:val="32"/>
              </w:rPr>
              <w:t>货物名称</w:t>
            </w:r>
          </w:p>
        </w:tc>
        <w:tc>
          <w:tcPr>
            <w:tcW w:w="1999" w:type="dxa"/>
            <w:vAlign w:val="center"/>
          </w:tcPr>
          <w:p>
            <w:pPr>
              <w:pStyle w:val="28"/>
              <w:rPr>
                <w:rFonts w:ascii="宋体" w:hAnsi="宋体" w:cs="宋体"/>
                <w:sz w:val="24"/>
                <w:szCs w:val="32"/>
              </w:rPr>
            </w:pPr>
            <w:r>
              <w:rPr>
                <w:rFonts w:hint="eastAsia" w:ascii="宋体" w:hAnsi="宋体" w:cs="宋体"/>
                <w:sz w:val="24"/>
                <w:szCs w:val="32"/>
              </w:rPr>
              <w:t>招标文件要求</w:t>
            </w:r>
          </w:p>
        </w:tc>
        <w:tc>
          <w:tcPr>
            <w:tcW w:w="2580" w:type="dxa"/>
            <w:vAlign w:val="center"/>
          </w:tcPr>
          <w:p>
            <w:pPr>
              <w:pStyle w:val="28"/>
              <w:rPr>
                <w:rFonts w:ascii="宋体" w:hAnsi="宋体" w:cs="宋体"/>
                <w:sz w:val="24"/>
                <w:szCs w:val="32"/>
              </w:rPr>
            </w:pPr>
            <w:r>
              <w:rPr>
                <w:rFonts w:hint="eastAsia" w:ascii="宋体" w:hAnsi="宋体" w:cs="宋体"/>
                <w:sz w:val="24"/>
                <w:szCs w:val="32"/>
              </w:rPr>
              <w:t>投标产品技术参数</w:t>
            </w:r>
          </w:p>
        </w:tc>
        <w:tc>
          <w:tcPr>
            <w:tcW w:w="2059" w:type="dxa"/>
            <w:vAlign w:val="center"/>
          </w:tcPr>
          <w:p>
            <w:pPr>
              <w:pStyle w:val="28"/>
              <w:rPr>
                <w:rFonts w:ascii="宋体" w:hAnsi="宋体" w:cs="宋体"/>
                <w:sz w:val="24"/>
                <w:szCs w:val="32"/>
              </w:rPr>
            </w:pPr>
            <w:r>
              <w:rPr>
                <w:rFonts w:hint="eastAsia" w:ascii="宋体" w:hAnsi="宋体" w:cs="宋体"/>
                <w:sz w:val="24"/>
                <w:szCs w:val="32"/>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70" w:type="dxa"/>
          </w:tcPr>
          <w:p>
            <w:pPr>
              <w:pStyle w:val="28"/>
              <w:rPr>
                <w:rFonts w:ascii="宋体" w:hAnsi="宋体" w:cs="宋体"/>
              </w:rPr>
            </w:pPr>
          </w:p>
        </w:tc>
        <w:tc>
          <w:tcPr>
            <w:tcW w:w="1290" w:type="dxa"/>
          </w:tcPr>
          <w:p>
            <w:pPr>
              <w:pStyle w:val="28"/>
              <w:rPr>
                <w:rFonts w:ascii="宋体" w:hAnsi="宋体" w:cs="宋体"/>
              </w:rPr>
            </w:pPr>
          </w:p>
        </w:tc>
        <w:tc>
          <w:tcPr>
            <w:tcW w:w="1999" w:type="dxa"/>
          </w:tcPr>
          <w:p>
            <w:pPr>
              <w:pStyle w:val="28"/>
              <w:rPr>
                <w:rFonts w:ascii="宋体" w:hAnsi="宋体" w:cs="宋体"/>
              </w:rPr>
            </w:pPr>
          </w:p>
        </w:tc>
        <w:tc>
          <w:tcPr>
            <w:tcW w:w="2580" w:type="dxa"/>
          </w:tcPr>
          <w:p>
            <w:pPr>
              <w:pStyle w:val="28"/>
              <w:rPr>
                <w:rFonts w:ascii="宋体" w:hAnsi="宋体" w:cs="宋体"/>
              </w:rPr>
            </w:pPr>
          </w:p>
        </w:tc>
        <w:tc>
          <w:tcPr>
            <w:tcW w:w="2059" w:type="dxa"/>
          </w:tcPr>
          <w:p>
            <w:pPr>
              <w:pStyle w:val="28"/>
              <w:rPr>
                <w:rFonts w:ascii="宋体" w:hAnsi="宋体" w:cs="宋体"/>
              </w:rPr>
            </w:pPr>
          </w:p>
        </w:tc>
      </w:tr>
    </w:tbl>
    <w:p>
      <w:pPr>
        <w:widowControl/>
        <w:spacing w:line="360" w:lineRule="auto"/>
        <w:ind w:firstLine="470" w:firstLineChars="196"/>
        <w:jc w:val="left"/>
        <w:rPr>
          <w:rFonts w:ascii="宋体" w:hAnsi="宋体" w:cs="宋体"/>
          <w:sz w:val="24"/>
        </w:rPr>
      </w:pPr>
    </w:p>
    <w:p>
      <w:pPr>
        <w:widowControl/>
        <w:spacing w:line="360" w:lineRule="auto"/>
        <w:ind w:firstLine="411" w:firstLineChars="196"/>
        <w:jc w:val="left"/>
        <w:outlineLvl w:val="1"/>
        <w:rPr>
          <w:rFonts w:ascii="宋体" w:hAnsi="宋体" w:cs="宋体"/>
          <w:szCs w:val="21"/>
        </w:rPr>
      </w:pPr>
      <w:r>
        <w:rPr>
          <w:rFonts w:hint="eastAsia" w:ascii="宋体" w:hAnsi="宋体" w:cs="宋体"/>
          <w:szCs w:val="21"/>
        </w:rPr>
        <w:t xml:space="preserve">注：1. </w:t>
      </w:r>
      <w:r>
        <w:rPr>
          <w:rFonts w:hint="eastAsia" w:ascii="宋体" w:hAnsi="宋体" w:cs="宋体"/>
          <w:sz w:val="24"/>
        </w:rPr>
        <w:t>供应商必须针对第四章技术指标把招标项目的全部技术参数列入此表。</w:t>
      </w:r>
    </w:p>
    <w:p>
      <w:pPr>
        <w:widowControl/>
        <w:spacing w:line="360" w:lineRule="auto"/>
        <w:ind w:firstLine="411" w:firstLineChars="196"/>
        <w:jc w:val="left"/>
        <w:outlineLvl w:val="1"/>
        <w:rPr>
          <w:rFonts w:ascii="宋体" w:hAnsi="宋体" w:cs="宋体"/>
          <w:szCs w:val="21"/>
        </w:rPr>
      </w:pPr>
      <w:r>
        <w:rPr>
          <w:rFonts w:hint="eastAsia" w:ascii="宋体" w:hAnsi="宋体" w:cs="宋体"/>
          <w:szCs w:val="21"/>
        </w:rPr>
        <w:t>2．按照招标项目技术要求的顺序逐条对应填写。</w:t>
      </w:r>
    </w:p>
    <w:p>
      <w:pPr>
        <w:widowControl/>
        <w:spacing w:line="360" w:lineRule="auto"/>
        <w:ind w:firstLine="411" w:firstLineChars="196"/>
        <w:jc w:val="left"/>
        <w:outlineLvl w:val="1"/>
        <w:rPr>
          <w:rFonts w:ascii="宋体" w:hAnsi="宋体" w:cs="宋体"/>
          <w:szCs w:val="21"/>
        </w:rPr>
      </w:pPr>
      <w:r>
        <w:rPr>
          <w:rFonts w:hint="eastAsia" w:ascii="宋体" w:hAnsi="宋体" w:cs="宋体"/>
          <w:szCs w:val="21"/>
        </w:rPr>
        <w:t>3．供应商必须据实填写，不得虚假填写，否则将取消其投标或中标资格。</w:t>
      </w:r>
    </w:p>
    <w:p>
      <w:pPr>
        <w:widowControl/>
        <w:spacing w:line="360" w:lineRule="auto"/>
        <w:ind w:firstLine="470" w:firstLineChars="196"/>
        <w:jc w:val="left"/>
        <w:rPr>
          <w:rFonts w:ascii="宋体" w:hAnsi="宋体" w:cs="宋体"/>
          <w:sz w:val="24"/>
        </w:rPr>
      </w:pP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投标人名称：    （单位盖章）</w:t>
      </w: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 xml:space="preserve">法定代表人或授权代表（签字或加盖个人名章）： </w:t>
      </w:r>
    </w:p>
    <w:p>
      <w:pPr>
        <w:widowControl/>
        <w:spacing w:line="360" w:lineRule="auto"/>
        <w:ind w:firstLine="470" w:firstLineChars="196"/>
        <w:jc w:val="left"/>
        <w:outlineLvl w:val="1"/>
        <w:rPr>
          <w:rFonts w:ascii="宋体" w:hAnsi="宋体" w:cs="宋体"/>
          <w:sz w:val="24"/>
        </w:rPr>
      </w:pPr>
      <w:r>
        <w:rPr>
          <w:rFonts w:hint="eastAsia" w:ascii="宋体" w:hAnsi="宋体" w:cs="宋体"/>
          <w:sz w:val="24"/>
        </w:rPr>
        <w:t>投标日期:  。</w:t>
      </w:r>
    </w:p>
    <w:p>
      <w:pPr>
        <w:widowControl/>
        <w:spacing w:line="360" w:lineRule="atLeast"/>
        <w:ind w:firstLine="470" w:firstLineChars="196"/>
        <w:jc w:val="left"/>
        <w:rPr>
          <w:rFonts w:ascii="宋体" w:hAnsi="宋体" w:cs="宋体"/>
          <w:sz w:val="24"/>
        </w:rPr>
      </w:pPr>
    </w:p>
    <w:p>
      <w:pPr>
        <w:wordWrap w:val="0"/>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pStyle w:val="16"/>
        <w:ind w:firstLine="240"/>
        <w:rPr>
          <w:rFonts w:ascii="宋体" w:hAnsi="宋体" w:cs="宋体"/>
          <w:sz w:val="24"/>
        </w:rPr>
      </w:pPr>
    </w:p>
    <w:p>
      <w:pPr>
        <w:pStyle w:val="16"/>
        <w:ind w:firstLine="240"/>
        <w:rPr>
          <w:rFonts w:ascii="宋体" w:hAnsi="宋体" w:cs="宋体"/>
          <w:sz w:val="24"/>
        </w:rPr>
      </w:pPr>
    </w:p>
    <w:p>
      <w:pPr>
        <w:spacing w:line="360" w:lineRule="auto"/>
        <w:ind w:firstLine="840" w:firstLineChars="350"/>
        <w:jc w:val="right"/>
        <w:rPr>
          <w:rFonts w:ascii="宋体" w:hAnsi="宋体" w:cs="宋体"/>
          <w:sz w:val="24"/>
        </w:rPr>
      </w:pPr>
    </w:p>
    <w:p>
      <w:pPr>
        <w:spacing w:line="360" w:lineRule="auto"/>
        <w:ind w:firstLine="840" w:firstLineChars="350"/>
        <w:jc w:val="right"/>
        <w:rPr>
          <w:rFonts w:ascii="宋体" w:hAnsi="宋体" w:cs="宋体"/>
          <w:sz w:val="24"/>
        </w:rPr>
      </w:pPr>
    </w:p>
    <w:p>
      <w:pPr>
        <w:pStyle w:val="16"/>
        <w:ind w:firstLine="340"/>
      </w:pPr>
    </w:p>
    <w:p>
      <w:pPr>
        <w:spacing w:line="360" w:lineRule="auto"/>
        <w:rPr>
          <w:rFonts w:ascii="宋体" w:hAnsi="宋体" w:cs="宋体"/>
          <w:sz w:val="24"/>
        </w:rPr>
      </w:pPr>
    </w:p>
    <w:p>
      <w:pPr>
        <w:widowControl/>
        <w:spacing w:line="360" w:lineRule="atLeast"/>
        <w:jc w:val="center"/>
        <w:outlineLvl w:val="1"/>
        <w:rPr>
          <w:rFonts w:ascii="宋体" w:hAnsi="宋体" w:cs="宋体"/>
          <w:b/>
          <w:bCs/>
          <w:sz w:val="24"/>
        </w:rPr>
      </w:pPr>
      <w:bookmarkStart w:id="207" w:name="_Toc454373580"/>
      <w:bookmarkStart w:id="208" w:name="_Toc217446091"/>
      <w:bookmarkStart w:id="209" w:name="_Toc365468177"/>
      <w:bookmarkStart w:id="210" w:name="_Toc15168"/>
      <w:bookmarkStart w:id="211" w:name="_Toc26957"/>
      <w:r>
        <w:rPr>
          <w:rFonts w:hint="eastAsia" w:ascii="宋体" w:hAnsi="宋体" w:cs="宋体"/>
          <w:b/>
          <w:bCs/>
          <w:sz w:val="24"/>
        </w:rPr>
        <w:t>十三、投标人本项目管理、技术、服务人员情况表</w:t>
      </w:r>
      <w:bookmarkEnd w:id="207"/>
      <w:bookmarkEnd w:id="208"/>
      <w:bookmarkEnd w:id="209"/>
      <w:bookmarkEnd w:id="210"/>
      <w:bookmarkEnd w:id="211"/>
    </w:p>
    <w:p>
      <w:pPr>
        <w:spacing w:line="400" w:lineRule="exact"/>
        <w:ind w:firstLine="240" w:firstLineChars="100"/>
        <w:rPr>
          <w:rFonts w:ascii="宋体" w:hAnsi="宋体" w:cs="宋体"/>
          <w:bCs/>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821"/>
        <w:gridCol w:w="821"/>
        <w:gridCol w:w="1226"/>
        <w:gridCol w:w="855"/>
        <w:gridCol w:w="984"/>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vAlign w:val="center"/>
          </w:tcPr>
          <w:p>
            <w:pPr>
              <w:spacing w:line="400" w:lineRule="exact"/>
              <w:jc w:val="center"/>
              <w:rPr>
                <w:rFonts w:ascii="宋体" w:hAnsi="宋体" w:cs="宋体"/>
                <w:sz w:val="24"/>
              </w:rPr>
            </w:pPr>
            <w:r>
              <w:rPr>
                <w:rFonts w:hint="eastAsia" w:ascii="宋体" w:hAnsi="宋体" w:cs="宋体"/>
                <w:sz w:val="24"/>
              </w:rPr>
              <w:t>类别</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职务</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姓名</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职称</w:t>
            </w:r>
          </w:p>
        </w:tc>
        <w:tc>
          <w:tcPr>
            <w:tcW w:w="821" w:type="dxa"/>
            <w:vMerge w:val="restart"/>
            <w:vAlign w:val="center"/>
          </w:tcPr>
          <w:p>
            <w:pPr>
              <w:spacing w:line="400" w:lineRule="exact"/>
              <w:jc w:val="center"/>
              <w:rPr>
                <w:rFonts w:ascii="宋体" w:hAnsi="宋体" w:cs="宋体"/>
                <w:sz w:val="24"/>
              </w:rPr>
            </w:pPr>
            <w:r>
              <w:rPr>
                <w:rFonts w:hint="eastAsia" w:ascii="宋体" w:hAnsi="宋体" w:cs="宋体"/>
                <w:sz w:val="24"/>
              </w:rPr>
              <w:t>常住地</w:t>
            </w:r>
          </w:p>
        </w:tc>
        <w:tc>
          <w:tcPr>
            <w:tcW w:w="3843" w:type="dxa"/>
            <w:gridSpan w:val="4"/>
            <w:vAlign w:val="center"/>
          </w:tcPr>
          <w:p>
            <w:pPr>
              <w:spacing w:line="400" w:lineRule="exact"/>
              <w:jc w:val="center"/>
              <w:rPr>
                <w:rFonts w:ascii="宋体" w:hAnsi="宋体" w:cs="宋体"/>
                <w:sz w:val="24"/>
              </w:rPr>
            </w:pPr>
            <w:r>
              <w:rPr>
                <w:rFonts w:hint="eastAsia" w:ascii="宋体" w:hAnsi="宋体" w:cs="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821" w:type="dxa"/>
            <w:vMerge w:val="continue"/>
            <w:vAlign w:val="center"/>
          </w:tcPr>
          <w:p>
            <w:pPr>
              <w:spacing w:line="400" w:lineRule="exact"/>
              <w:jc w:val="center"/>
              <w:rPr>
                <w:rFonts w:ascii="宋体" w:hAnsi="宋体" w:cs="宋体"/>
                <w:sz w:val="24"/>
              </w:rPr>
            </w:pPr>
          </w:p>
        </w:tc>
        <w:tc>
          <w:tcPr>
            <w:tcW w:w="1226" w:type="dxa"/>
            <w:vAlign w:val="center"/>
          </w:tcPr>
          <w:p>
            <w:pPr>
              <w:spacing w:line="400" w:lineRule="exact"/>
              <w:jc w:val="center"/>
              <w:rPr>
                <w:rFonts w:ascii="宋体" w:hAnsi="宋体" w:cs="宋体"/>
                <w:sz w:val="24"/>
              </w:rPr>
            </w:pPr>
            <w:r>
              <w:rPr>
                <w:rFonts w:hint="eastAsia" w:ascii="宋体" w:hAnsi="宋体" w:cs="宋体"/>
                <w:sz w:val="24"/>
              </w:rPr>
              <w:t>证书名称</w:t>
            </w:r>
          </w:p>
        </w:tc>
        <w:tc>
          <w:tcPr>
            <w:tcW w:w="855" w:type="dxa"/>
            <w:vAlign w:val="center"/>
          </w:tcPr>
          <w:p>
            <w:pPr>
              <w:spacing w:line="400" w:lineRule="exact"/>
              <w:jc w:val="center"/>
              <w:rPr>
                <w:rFonts w:ascii="宋体" w:hAnsi="宋体" w:cs="宋体"/>
                <w:sz w:val="24"/>
              </w:rPr>
            </w:pPr>
            <w:r>
              <w:rPr>
                <w:rFonts w:hint="eastAsia" w:ascii="宋体" w:hAnsi="宋体" w:cs="宋体"/>
                <w:sz w:val="24"/>
              </w:rPr>
              <w:t>级别</w:t>
            </w:r>
          </w:p>
        </w:tc>
        <w:tc>
          <w:tcPr>
            <w:tcW w:w="984" w:type="dxa"/>
            <w:vAlign w:val="center"/>
          </w:tcPr>
          <w:p>
            <w:pPr>
              <w:spacing w:line="400" w:lineRule="exact"/>
              <w:jc w:val="center"/>
              <w:rPr>
                <w:rFonts w:ascii="宋体" w:hAnsi="宋体" w:cs="宋体"/>
                <w:sz w:val="24"/>
              </w:rPr>
            </w:pPr>
            <w:r>
              <w:rPr>
                <w:rFonts w:hint="eastAsia" w:ascii="宋体" w:hAnsi="宋体" w:cs="宋体"/>
                <w:sz w:val="24"/>
              </w:rPr>
              <w:t>证号</w:t>
            </w:r>
          </w:p>
        </w:tc>
        <w:tc>
          <w:tcPr>
            <w:tcW w:w="778" w:type="dxa"/>
            <w:vAlign w:val="center"/>
          </w:tcPr>
          <w:p>
            <w:pPr>
              <w:spacing w:line="400" w:lineRule="exact"/>
              <w:jc w:val="center"/>
              <w:rPr>
                <w:rFonts w:ascii="宋体" w:hAnsi="宋体" w:cs="宋体"/>
                <w:sz w:val="24"/>
              </w:rPr>
            </w:pPr>
            <w:r>
              <w:rPr>
                <w:rFonts w:hint="eastAsia" w:ascii="宋体" w:hAnsi="宋体" w:cs="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宋体"/>
                <w:sz w:val="24"/>
              </w:rPr>
            </w:pPr>
            <w:r>
              <w:rPr>
                <w:rFonts w:hint="eastAsia" w:ascii="宋体" w:hAnsi="宋体" w:cs="宋体"/>
                <w:sz w:val="24"/>
              </w:rPr>
              <w:t>管</w:t>
            </w:r>
          </w:p>
          <w:p>
            <w:pPr>
              <w:spacing w:line="400" w:lineRule="exact"/>
              <w:jc w:val="center"/>
              <w:rPr>
                <w:rFonts w:ascii="宋体" w:hAnsi="宋体" w:cs="宋体"/>
                <w:sz w:val="24"/>
              </w:rPr>
            </w:pPr>
            <w:r>
              <w:rPr>
                <w:rFonts w:hint="eastAsia" w:ascii="宋体" w:hAnsi="宋体" w:cs="宋体"/>
                <w:sz w:val="24"/>
              </w:rPr>
              <w:t>理</w:t>
            </w:r>
          </w:p>
          <w:p>
            <w:pPr>
              <w:spacing w:line="400" w:lineRule="exact"/>
              <w:jc w:val="center"/>
              <w:rPr>
                <w:rFonts w:ascii="宋体" w:hAnsi="宋体" w:cs="宋体"/>
                <w:sz w:val="24"/>
              </w:rPr>
            </w:pPr>
            <w:r>
              <w:rPr>
                <w:rFonts w:hint="eastAsia" w:ascii="宋体" w:hAnsi="宋体" w:cs="宋体"/>
                <w:sz w:val="24"/>
              </w:rPr>
              <w:t>人</w:t>
            </w:r>
          </w:p>
          <w:p>
            <w:pPr>
              <w:spacing w:line="400" w:lineRule="exact"/>
              <w:jc w:val="center"/>
              <w:rPr>
                <w:rFonts w:ascii="宋体" w:hAnsi="宋体" w:cs="宋体"/>
                <w:sz w:val="24"/>
              </w:rPr>
            </w:pPr>
            <w:r>
              <w:rPr>
                <w:rFonts w:hint="eastAsia" w:ascii="宋体" w:hAnsi="宋体" w:cs="宋体"/>
                <w:sz w:val="24"/>
              </w:rPr>
              <w:t>员</w:t>
            </w: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tcPr>
          <w:p>
            <w:pPr>
              <w:spacing w:line="400" w:lineRule="exact"/>
              <w:jc w:val="center"/>
              <w:rPr>
                <w:rFonts w:ascii="宋体" w:hAnsi="宋体" w:cs="宋体"/>
                <w:sz w:val="24"/>
              </w:rPr>
            </w:pPr>
            <w:r>
              <w:rPr>
                <w:rFonts w:hint="eastAsia" w:ascii="宋体" w:hAnsi="宋体" w:cs="宋体"/>
                <w:sz w:val="24"/>
              </w:rPr>
              <w:t>技</w:t>
            </w:r>
          </w:p>
          <w:p>
            <w:pPr>
              <w:spacing w:line="400" w:lineRule="exact"/>
              <w:jc w:val="center"/>
              <w:rPr>
                <w:rFonts w:ascii="宋体" w:hAnsi="宋体" w:cs="宋体"/>
                <w:sz w:val="24"/>
              </w:rPr>
            </w:pPr>
            <w:r>
              <w:rPr>
                <w:rFonts w:hint="eastAsia" w:ascii="宋体" w:hAnsi="宋体" w:cs="宋体"/>
                <w:sz w:val="24"/>
              </w:rPr>
              <w:t>术</w:t>
            </w:r>
          </w:p>
          <w:p>
            <w:pPr>
              <w:spacing w:line="400" w:lineRule="exact"/>
              <w:jc w:val="center"/>
              <w:rPr>
                <w:rFonts w:ascii="宋体" w:hAnsi="宋体" w:cs="宋体"/>
                <w:sz w:val="24"/>
              </w:rPr>
            </w:pPr>
            <w:r>
              <w:rPr>
                <w:rFonts w:hint="eastAsia" w:ascii="宋体" w:hAnsi="宋体" w:cs="宋体"/>
                <w:sz w:val="24"/>
              </w:rPr>
              <w:t>人</w:t>
            </w:r>
          </w:p>
          <w:p>
            <w:pPr>
              <w:spacing w:line="400" w:lineRule="exact"/>
              <w:jc w:val="center"/>
              <w:rPr>
                <w:rFonts w:ascii="宋体" w:hAnsi="宋体" w:cs="宋体"/>
                <w:sz w:val="24"/>
              </w:rPr>
            </w:pPr>
            <w:r>
              <w:rPr>
                <w:rFonts w:hint="eastAsia" w:ascii="宋体" w:hAnsi="宋体" w:cs="宋体"/>
                <w:sz w:val="24"/>
              </w:rPr>
              <w:t>员</w:t>
            </w: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宋体"/>
                <w:sz w:val="24"/>
              </w:rPr>
            </w:pPr>
            <w:r>
              <w:rPr>
                <w:rFonts w:hint="eastAsia" w:ascii="宋体" w:hAnsi="宋体" w:cs="宋体"/>
                <w:sz w:val="24"/>
              </w:rPr>
              <w:t>售后</w:t>
            </w:r>
          </w:p>
          <w:p>
            <w:pPr>
              <w:spacing w:line="400" w:lineRule="exact"/>
              <w:jc w:val="center"/>
              <w:rPr>
                <w:rFonts w:ascii="宋体" w:hAnsi="宋体" w:cs="宋体"/>
                <w:sz w:val="24"/>
              </w:rPr>
            </w:pPr>
            <w:r>
              <w:rPr>
                <w:rFonts w:hint="eastAsia" w:ascii="宋体" w:hAnsi="宋体" w:cs="宋体"/>
                <w:sz w:val="24"/>
              </w:rPr>
              <w:t>服务</w:t>
            </w:r>
          </w:p>
          <w:p>
            <w:pPr>
              <w:spacing w:line="400" w:lineRule="exact"/>
              <w:jc w:val="center"/>
              <w:rPr>
                <w:rFonts w:ascii="宋体" w:hAnsi="宋体" w:cs="宋体"/>
                <w:sz w:val="24"/>
              </w:rPr>
            </w:pPr>
            <w:r>
              <w:rPr>
                <w:rFonts w:hint="eastAsia" w:ascii="宋体" w:hAnsi="宋体" w:cs="宋体"/>
                <w:sz w:val="24"/>
              </w:rPr>
              <w:t>人员</w:t>
            </w: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1226" w:type="dxa"/>
          </w:tcPr>
          <w:p>
            <w:pPr>
              <w:spacing w:line="400" w:lineRule="exact"/>
              <w:jc w:val="center"/>
              <w:rPr>
                <w:rFonts w:ascii="宋体" w:hAnsi="宋体" w:cs="宋体"/>
                <w:sz w:val="24"/>
              </w:rPr>
            </w:pPr>
          </w:p>
        </w:tc>
        <w:tc>
          <w:tcPr>
            <w:tcW w:w="855" w:type="dxa"/>
          </w:tcPr>
          <w:p>
            <w:pPr>
              <w:spacing w:line="400" w:lineRule="exact"/>
              <w:jc w:val="center"/>
              <w:rPr>
                <w:rFonts w:ascii="宋体" w:hAnsi="宋体" w:cs="宋体"/>
                <w:sz w:val="24"/>
              </w:rPr>
            </w:pPr>
          </w:p>
        </w:tc>
        <w:tc>
          <w:tcPr>
            <w:tcW w:w="984" w:type="dxa"/>
          </w:tcPr>
          <w:p>
            <w:pPr>
              <w:spacing w:line="400" w:lineRule="exact"/>
              <w:jc w:val="center"/>
              <w:rPr>
                <w:rFonts w:ascii="宋体" w:hAnsi="宋体" w:cs="宋体"/>
                <w:sz w:val="24"/>
              </w:rPr>
            </w:pPr>
          </w:p>
        </w:tc>
        <w:tc>
          <w:tcPr>
            <w:tcW w:w="778" w:type="dxa"/>
          </w:tcPr>
          <w:p>
            <w:pPr>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1226" w:type="dxa"/>
          </w:tcPr>
          <w:p>
            <w:pPr>
              <w:spacing w:line="400" w:lineRule="exact"/>
              <w:jc w:val="center"/>
              <w:rPr>
                <w:rFonts w:ascii="宋体" w:hAnsi="宋体" w:cs="宋体"/>
                <w:b/>
                <w:bCs/>
                <w:sz w:val="24"/>
              </w:rPr>
            </w:pPr>
          </w:p>
        </w:tc>
        <w:tc>
          <w:tcPr>
            <w:tcW w:w="855" w:type="dxa"/>
          </w:tcPr>
          <w:p>
            <w:pPr>
              <w:spacing w:line="400" w:lineRule="exact"/>
              <w:jc w:val="center"/>
              <w:rPr>
                <w:rFonts w:ascii="宋体" w:hAnsi="宋体" w:cs="宋体"/>
                <w:b/>
                <w:bCs/>
                <w:sz w:val="24"/>
              </w:rPr>
            </w:pPr>
          </w:p>
        </w:tc>
        <w:tc>
          <w:tcPr>
            <w:tcW w:w="984" w:type="dxa"/>
          </w:tcPr>
          <w:p>
            <w:pPr>
              <w:spacing w:line="400" w:lineRule="exact"/>
              <w:jc w:val="center"/>
              <w:rPr>
                <w:rFonts w:ascii="宋体" w:hAnsi="宋体" w:cs="宋体"/>
                <w:b/>
                <w:bCs/>
                <w:sz w:val="24"/>
              </w:rPr>
            </w:pPr>
          </w:p>
        </w:tc>
        <w:tc>
          <w:tcPr>
            <w:tcW w:w="778" w:type="dxa"/>
          </w:tcPr>
          <w:p>
            <w:pPr>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821" w:type="dxa"/>
          </w:tcPr>
          <w:p>
            <w:pPr>
              <w:spacing w:line="400" w:lineRule="exact"/>
              <w:jc w:val="center"/>
              <w:rPr>
                <w:rFonts w:ascii="宋体" w:hAnsi="宋体" w:cs="宋体"/>
                <w:b/>
                <w:bCs/>
                <w:sz w:val="24"/>
              </w:rPr>
            </w:pPr>
          </w:p>
        </w:tc>
        <w:tc>
          <w:tcPr>
            <w:tcW w:w="1226" w:type="dxa"/>
          </w:tcPr>
          <w:p>
            <w:pPr>
              <w:spacing w:line="400" w:lineRule="exact"/>
              <w:jc w:val="center"/>
              <w:rPr>
                <w:rFonts w:ascii="宋体" w:hAnsi="宋体" w:cs="宋体"/>
                <w:b/>
                <w:bCs/>
                <w:sz w:val="24"/>
              </w:rPr>
            </w:pPr>
          </w:p>
        </w:tc>
        <w:tc>
          <w:tcPr>
            <w:tcW w:w="855" w:type="dxa"/>
          </w:tcPr>
          <w:p>
            <w:pPr>
              <w:spacing w:line="400" w:lineRule="exact"/>
              <w:jc w:val="center"/>
              <w:rPr>
                <w:rFonts w:ascii="宋体" w:hAnsi="宋体" w:cs="宋体"/>
                <w:b/>
                <w:bCs/>
                <w:sz w:val="24"/>
              </w:rPr>
            </w:pPr>
          </w:p>
        </w:tc>
        <w:tc>
          <w:tcPr>
            <w:tcW w:w="984" w:type="dxa"/>
          </w:tcPr>
          <w:p>
            <w:pPr>
              <w:spacing w:line="400" w:lineRule="exact"/>
              <w:jc w:val="center"/>
              <w:rPr>
                <w:rFonts w:ascii="宋体" w:hAnsi="宋体" w:cs="宋体"/>
                <w:b/>
                <w:bCs/>
                <w:sz w:val="24"/>
              </w:rPr>
            </w:pPr>
          </w:p>
        </w:tc>
        <w:tc>
          <w:tcPr>
            <w:tcW w:w="778" w:type="dxa"/>
          </w:tcPr>
          <w:p>
            <w:pPr>
              <w:spacing w:line="400" w:lineRule="exact"/>
              <w:jc w:val="center"/>
              <w:rPr>
                <w:rFonts w:ascii="宋体" w:hAnsi="宋体" w:cs="宋体"/>
                <w:b/>
                <w:bCs/>
                <w:sz w:val="24"/>
              </w:rPr>
            </w:pPr>
          </w:p>
        </w:tc>
      </w:tr>
    </w:tbl>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spacing w:line="400" w:lineRule="exact"/>
        <w:jc w:val="center"/>
        <w:rPr>
          <w:rFonts w:ascii="宋体" w:hAnsi="宋体" w:cs="宋体"/>
          <w:b/>
          <w:bCs/>
          <w:sz w:val="24"/>
        </w:rPr>
      </w:pP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900" w:firstLineChars="3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 xml:space="preserve">投标日期:  </w:t>
      </w:r>
    </w:p>
    <w:p>
      <w:pPr>
        <w:adjustRightInd w:val="0"/>
        <w:spacing w:line="400" w:lineRule="exact"/>
        <w:ind w:firstLine="900" w:firstLineChars="375"/>
        <w:jc w:val="left"/>
        <w:rPr>
          <w:rFonts w:ascii="宋体" w:hAnsi="宋体" w:cs="宋体"/>
          <w:bCs/>
          <w:sz w:val="24"/>
        </w:rPr>
      </w:pPr>
    </w:p>
    <w:p>
      <w:pPr>
        <w:rPr>
          <w:rFonts w:ascii="宋体" w:hAnsi="宋体" w:cs="宋体"/>
        </w:rPr>
      </w:pPr>
    </w:p>
    <w:p>
      <w:pPr>
        <w:pStyle w:val="16"/>
        <w:ind w:firstLine="340"/>
        <w:rPr>
          <w:rFonts w:ascii="宋体" w:hAnsi="宋体" w:cs="宋体"/>
        </w:rPr>
      </w:pPr>
    </w:p>
    <w:p>
      <w:pPr>
        <w:pStyle w:val="16"/>
        <w:ind w:firstLine="340"/>
        <w:rPr>
          <w:rFonts w:ascii="宋体" w:hAnsi="宋体" w:cs="宋体"/>
        </w:rPr>
      </w:pPr>
    </w:p>
    <w:p>
      <w:pPr>
        <w:pStyle w:val="16"/>
        <w:ind w:firstLine="340"/>
        <w:rPr>
          <w:rFonts w:ascii="宋体" w:hAnsi="宋体" w:cs="宋体"/>
        </w:rPr>
      </w:pPr>
    </w:p>
    <w:p>
      <w:pPr>
        <w:widowControl/>
        <w:spacing w:line="360" w:lineRule="atLeast"/>
        <w:rPr>
          <w:rFonts w:ascii="宋体" w:hAnsi="宋体" w:cs="宋体"/>
          <w:b/>
          <w:sz w:val="24"/>
        </w:rPr>
      </w:pPr>
      <w:bookmarkStart w:id="212" w:name="_Toc217446093"/>
    </w:p>
    <w:bookmarkEnd w:id="212"/>
    <w:p>
      <w:pPr>
        <w:pStyle w:val="5"/>
        <w:numPr>
          <w:ilvl w:val="0"/>
          <w:numId w:val="3"/>
        </w:numPr>
        <w:tabs>
          <w:tab w:val="left" w:pos="943"/>
          <w:tab w:val="center" w:pos="4819"/>
        </w:tabs>
        <w:spacing w:line="360" w:lineRule="exact"/>
        <w:jc w:val="center"/>
        <w:outlineLvl w:val="0"/>
        <w:rPr>
          <w:rFonts w:ascii="宋体" w:hAnsi="宋体" w:eastAsia="宋体" w:cs="宋体"/>
          <w:sz w:val="36"/>
        </w:rPr>
      </w:pPr>
      <w:bookmarkStart w:id="213" w:name="_Toc22855"/>
      <w:bookmarkStart w:id="214" w:name="_Toc10433"/>
      <w:bookmarkStart w:id="215" w:name="_Toc30432"/>
      <w:r>
        <w:rPr>
          <w:rFonts w:hint="eastAsia" w:ascii="宋体" w:hAnsi="宋体" w:eastAsia="宋体" w:cs="宋体"/>
          <w:sz w:val="36"/>
        </w:rPr>
        <w:t>招标项目技术参数内容和商务要求</w:t>
      </w:r>
      <w:bookmarkEnd w:id="213"/>
      <w:bookmarkEnd w:id="214"/>
      <w:bookmarkEnd w:id="215"/>
    </w:p>
    <w:p>
      <w:pPr>
        <w:spacing w:before="100" w:after="100" w:line="360" w:lineRule="auto"/>
        <w:ind w:firstLine="482" w:firstLineChars="200"/>
        <w:rPr>
          <w:rFonts w:ascii="宋体" w:hAnsi="宋体" w:cs="宋体"/>
          <w:b/>
          <w:color w:val="000000"/>
          <w:sz w:val="24"/>
        </w:rPr>
      </w:pPr>
      <w:bookmarkStart w:id="216" w:name="_Toc296611545"/>
      <w:bookmarkStart w:id="217" w:name="_Toc296611584"/>
      <w:bookmarkStart w:id="218" w:name="_Toc296583943"/>
      <w:r>
        <w:rPr>
          <w:rFonts w:hint="eastAsia" w:ascii="宋体" w:hAnsi="宋体" w:cs="宋体"/>
          <w:b/>
          <w:color w:val="000000"/>
          <w:sz w:val="24"/>
        </w:rPr>
        <w:t>一、项目概况</w:t>
      </w:r>
    </w:p>
    <w:p>
      <w:pPr>
        <w:spacing w:before="100" w:after="100" w:line="360" w:lineRule="auto"/>
        <w:ind w:firstLine="480" w:firstLineChars="200"/>
        <w:rPr>
          <w:rFonts w:ascii="宋体" w:hAnsi="宋体" w:cs="宋体"/>
          <w:bCs/>
          <w:color w:val="000000"/>
          <w:sz w:val="24"/>
        </w:rPr>
      </w:pPr>
      <w:r>
        <w:rPr>
          <w:rFonts w:hint="eastAsia" w:ascii="宋体" w:hAnsi="宋体" w:cs="宋体"/>
          <w:bCs/>
          <w:color w:val="000000"/>
          <w:sz w:val="24"/>
        </w:rPr>
        <w:t>项目所涉及消防系统</w:t>
      </w:r>
      <w:r>
        <w:rPr>
          <w:rFonts w:ascii="宋体" w:hAnsi="宋体" w:cs="宋体"/>
          <w:bCs/>
          <w:color w:val="000000"/>
          <w:sz w:val="24"/>
        </w:rPr>
        <w:t>及</w:t>
      </w:r>
      <w:r>
        <w:rPr>
          <w:rFonts w:hint="eastAsia" w:ascii="宋体" w:hAnsi="宋体" w:cs="宋体"/>
          <w:bCs/>
          <w:color w:val="000000"/>
          <w:sz w:val="24"/>
        </w:rPr>
        <w:t>设施维</w:t>
      </w:r>
      <w:r>
        <w:rPr>
          <w:rFonts w:ascii="宋体" w:hAnsi="宋体" w:cs="宋体"/>
          <w:bCs/>
          <w:color w:val="000000"/>
          <w:sz w:val="24"/>
        </w:rPr>
        <w:t>保</w:t>
      </w:r>
      <w:r>
        <w:rPr>
          <w:rFonts w:hint="eastAsia" w:ascii="宋体" w:hAnsi="宋体" w:cs="宋体"/>
          <w:bCs/>
          <w:color w:val="000000"/>
          <w:sz w:val="24"/>
        </w:rPr>
        <w:t>包括但</w:t>
      </w:r>
      <w:r>
        <w:rPr>
          <w:rFonts w:ascii="宋体" w:hAnsi="宋体" w:cs="宋体"/>
          <w:bCs/>
          <w:color w:val="000000"/>
          <w:sz w:val="24"/>
        </w:rPr>
        <w:t>不限于</w:t>
      </w:r>
      <w:r>
        <w:rPr>
          <w:rFonts w:hint="eastAsia" w:ascii="宋体" w:hAnsi="宋体" w:cs="宋体"/>
          <w:bCs/>
          <w:color w:val="000000"/>
          <w:sz w:val="24"/>
        </w:rPr>
        <w:t>：火灾自动报警系统、</w:t>
      </w:r>
      <w:r>
        <w:rPr>
          <w:rFonts w:asciiTheme="minorEastAsia" w:hAnsiTheme="minorEastAsia" w:eastAsiaTheme="minorEastAsia"/>
          <w:sz w:val="24"/>
        </w:rPr>
        <w:t>消防联动控制系统</w:t>
      </w:r>
      <w:r>
        <w:rPr>
          <w:rFonts w:hint="eastAsia" w:asciiTheme="minorEastAsia" w:hAnsiTheme="minorEastAsia" w:eastAsiaTheme="minorEastAsia"/>
          <w:sz w:val="24"/>
        </w:rPr>
        <w:t>、</w:t>
      </w:r>
      <w:r>
        <w:rPr>
          <w:rFonts w:hint="eastAsia" w:ascii="宋体" w:hAnsi="宋体" w:cs="宋体"/>
          <w:bCs/>
          <w:color w:val="000000"/>
          <w:sz w:val="24"/>
        </w:rPr>
        <w:t>自动气体灭火系统、自动喷</w:t>
      </w:r>
      <w:r>
        <w:rPr>
          <w:rFonts w:asciiTheme="minorEastAsia" w:hAnsiTheme="minorEastAsia" w:eastAsiaTheme="minorEastAsia"/>
          <w:sz w:val="24"/>
        </w:rPr>
        <w:t>淋</w:t>
      </w:r>
      <w:r>
        <w:rPr>
          <w:rFonts w:hint="eastAsia" w:ascii="宋体" w:hAnsi="宋体" w:cs="宋体"/>
          <w:bCs/>
          <w:color w:val="000000"/>
          <w:sz w:val="24"/>
        </w:rPr>
        <w:t>灭火系统、消火栓系统、防烟排烟系统、</w:t>
      </w:r>
      <w:r>
        <w:rPr>
          <w:rFonts w:asciiTheme="minorEastAsia" w:hAnsiTheme="minorEastAsia" w:eastAsiaTheme="minorEastAsia"/>
          <w:color w:val="000000"/>
          <w:sz w:val="24"/>
          <w:lang w:bidi="ar"/>
        </w:rPr>
        <w:t>防火分隔</w:t>
      </w:r>
      <w:r>
        <w:rPr>
          <w:rFonts w:hint="eastAsia" w:asciiTheme="minorEastAsia" w:hAnsiTheme="minorEastAsia" w:eastAsiaTheme="minorEastAsia"/>
          <w:color w:val="000000"/>
          <w:sz w:val="24"/>
          <w:lang w:bidi="ar"/>
        </w:rPr>
        <w:t>设</w:t>
      </w:r>
      <w:r>
        <w:rPr>
          <w:rFonts w:asciiTheme="minorEastAsia" w:hAnsiTheme="minorEastAsia" w:eastAsiaTheme="minorEastAsia"/>
          <w:color w:val="000000"/>
          <w:sz w:val="24"/>
          <w:lang w:bidi="ar"/>
        </w:rPr>
        <w:t>施</w:t>
      </w:r>
      <w:r>
        <w:rPr>
          <w:rFonts w:hint="eastAsia" w:asciiTheme="minorEastAsia" w:hAnsiTheme="minorEastAsia" w:eastAsiaTheme="minorEastAsia"/>
          <w:color w:val="000000"/>
          <w:sz w:val="24"/>
          <w:lang w:bidi="ar"/>
        </w:rPr>
        <w:t>、</w:t>
      </w:r>
      <w:r>
        <w:rPr>
          <w:rFonts w:hint="eastAsia" w:asciiTheme="minorEastAsia" w:hAnsiTheme="minorEastAsia" w:eastAsiaTheme="minorEastAsia"/>
          <w:sz w:val="24"/>
        </w:rPr>
        <w:t>应急照明和疏散指示标志系统、</w:t>
      </w:r>
      <w:r>
        <w:rPr>
          <w:rFonts w:hint="eastAsia" w:asciiTheme="minorEastAsia" w:hAnsiTheme="minorEastAsia" w:eastAsiaTheme="minorEastAsia"/>
          <w:color w:val="000000"/>
          <w:sz w:val="24"/>
          <w:lang w:bidi="ar"/>
        </w:rPr>
        <w:t>消防</w:t>
      </w:r>
      <w:r>
        <w:rPr>
          <w:rFonts w:asciiTheme="minorEastAsia" w:hAnsiTheme="minorEastAsia" w:eastAsiaTheme="minorEastAsia"/>
          <w:color w:val="000000"/>
          <w:sz w:val="24"/>
          <w:lang w:bidi="ar"/>
        </w:rPr>
        <w:t>通讯设备及应急广播系统</w:t>
      </w:r>
      <w:r>
        <w:rPr>
          <w:rFonts w:hint="eastAsia" w:asciiTheme="minorEastAsia" w:hAnsiTheme="minorEastAsia" w:eastAsiaTheme="minorEastAsia"/>
          <w:color w:val="000000"/>
          <w:sz w:val="24"/>
          <w:lang w:bidi="ar"/>
        </w:rPr>
        <w:t>、</w:t>
      </w:r>
      <w:r>
        <w:rPr>
          <w:rFonts w:hint="eastAsia" w:ascii="宋体" w:hAnsi="宋体" w:cs="宋体"/>
          <w:bCs/>
          <w:color w:val="000000"/>
          <w:sz w:val="24"/>
        </w:rPr>
        <w:t>消防供电设施、消防供水设施等。</w:t>
      </w:r>
    </w:p>
    <w:p>
      <w:pPr>
        <w:spacing w:before="100" w:after="100" w:line="360" w:lineRule="auto"/>
        <w:ind w:firstLine="482" w:firstLineChars="200"/>
        <w:rPr>
          <w:rFonts w:ascii="宋体" w:hAnsi="宋体" w:cs="宋体"/>
          <w:bCs/>
          <w:color w:val="000000"/>
          <w:kern w:val="0"/>
          <w:sz w:val="24"/>
          <w:lang w:bidi="zh-CN"/>
        </w:rPr>
      </w:pPr>
      <w:r>
        <w:rPr>
          <w:rFonts w:hint="eastAsia" w:ascii="宋体" w:hAnsi="宋体" w:cs="宋体"/>
          <w:b/>
          <w:color w:val="000000"/>
          <w:sz w:val="24"/>
        </w:rPr>
        <w:t>二、</w:t>
      </w:r>
      <w:bookmarkEnd w:id="216"/>
      <w:bookmarkEnd w:id="217"/>
      <w:bookmarkEnd w:id="218"/>
      <w:bookmarkStart w:id="219" w:name="_Toc454373582"/>
      <w:bookmarkStart w:id="220" w:name="_Toc10237"/>
      <w:bookmarkStart w:id="221" w:name="_Toc12462_WPSOffice_Level1"/>
      <w:bookmarkStart w:id="222" w:name="_Toc217446099"/>
      <w:r>
        <w:rPr>
          <w:rFonts w:hint="eastAsia" w:ascii="宋体" w:hAnsi="宋体" w:cs="宋体"/>
          <w:b/>
          <w:color w:val="000000"/>
          <w:kern w:val="0"/>
          <w:sz w:val="24"/>
          <w:lang w:bidi="zh-CN"/>
        </w:rPr>
        <w:t>消防系统、设施维保服务内容</w:t>
      </w:r>
    </w:p>
    <w:p>
      <w:pPr>
        <w:widowControl/>
        <w:ind w:firstLine="420" w:firstLineChars="200"/>
        <w:jc w:val="left"/>
        <w:rPr>
          <w:rFonts w:asciiTheme="minorEastAsia" w:hAnsiTheme="minorEastAsia" w:eastAsiaTheme="minorEastAsia"/>
          <w:color w:val="000000"/>
          <w:kern w:val="0"/>
          <w:szCs w:val="21"/>
          <w:lang w:bidi="ar"/>
        </w:rPr>
      </w:pPr>
      <w:r>
        <w:rPr>
          <w:rFonts w:hint="eastAsia" w:asciiTheme="minorEastAsia" w:hAnsiTheme="minorEastAsia" w:eastAsiaTheme="minorEastAsia"/>
          <w:color w:val="000000"/>
          <w:kern w:val="0"/>
          <w:szCs w:val="21"/>
          <w:lang w:bidi="ar"/>
        </w:rPr>
        <w:t>维</w:t>
      </w:r>
      <w:r>
        <w:rPr>
          <w:rFonts w:asciiTheme="minorEastAsia" w:hAnsiTheme="minorEastAsia" w:eastAsiaTheme="minorEastAsia"/>
          <w:color w:val="000000"/>
          <w:kern w:val="0"/>
          <w:szCs w:val="21"/>
          <w:lang w:bidi="ar"/>
        </w:rPr>
        <w:t>保服务主要内容(包含但不仅限于)：</w:t>
      </w:r>
    </w:p>
    <w:tbl>
      <w:tblPr>
        <w:tblStyle w:val="18"/>
        <w:tblW w:w="88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24"/>
        <w:gridCol w:w="7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624" w:type="dxa"/>
            <w:vAlign w:val="center"/>
          </w:tcPr>
          <w:p>
            <w:pPr>
              <w:widowControl/>
              <w:jc w:val="center"/>
              <w:rPr>
                <w:rFonts w:asciiTheme="minorEastAsia" w:hAnsiTheme="minorEastAsia" w:eastAsiaTheme="minorEastAsia"/>
                <w:b/>
                <w:bCs/>
                <w:color w:val="000000"/>
                <w:szCs w:val="21"/>
                <w:lang w:bidi="ar"/>
              </w:rPr>
            </w:pPr>
            <w:r>
              <w:rPr>
                <w:rFonts w:asciiTheme="minorEastAsia" w:hAnsiTheme="minorEastAsia" w:eastAsiaTheme="minorEastAsia"/>
                <w:b/>
                <w:bCs/>
                <w:color w:val="000000"/>
                <w:szCs w:val="21"/>
                <w:lang w:bidi="ar"/>
              </w:rPr>
              <w:t>项目</w:t>
            </w:r>
          </w:p>
        </w:tc>
        <w:tc>
          <w:tcPr>
            <w:tcW w:w="7210" w:type="dxa"/>
            <w:vAlign w:val="center"/>
          </w:tcPr>
          <w:p>
            <w:pPr>
              <w:widowControl/>
              <w:ind w:firstLine="420"/>
              <w:jc w:val="center"/>
              <w:rPr>
                <w:rFonts w:asciiTheme="minorEastAsia" w:hAnsiTheme="minorEastAsia" w:eastAsiaTheme="minorEastAsia"/>
                <w:b/>
                <w:bCs/>
                <w:color w:val="000000"/>
                <w:szCs w:val="21"/>
                <w:lang w:bidi="ar"/>
              </w:rPr>
            </w:pPr>
            <w:r>
              <w:rPr>
                <w:rFonts w:asciiTheme="minorEastAsia" w:hAnsiTheme="minorEastAsia" w:eastAsiaTheme="minorEastAsia"/>
                <w:b/>
                <w:bCs/>
                <w:color w:val="000000"/>
                <w:szCs w:val="21"/>
                <w:lang w:bidi="ar"/>
              </w:rPr>
              <w:t>内</w:t>
            </w:r>
            <w:r>
              <w:rPr>
                <w:rFonts w:hint="eastAsia" w:asciiTheme="minorEastAsia" w:hAnsiTheme="minorEastAsia" w:eastAsiaTheme="minorEastAsia"/>
                <w:b/>
                <w:bCs/>
                <w:color w:val="000000"/>
                <w:szCs w:val="21"/>
                <w:lang w:bidi="ar"/>
              </w:rPr>
              <w:t xml:space="preserve">            </w:t>
            </w:r>
            <w:r>
              <w:rPr>
                <w:rFonts w:asciiTheme="minorEastAsia" w:hAnsiTheme="minorEastAsia" w:eastAsiaTheme="minorEastAsia"/>
                <w:b/>
                <w:bCs/>
                <w:color w:val="000000"/>
                <w:szCs w:val="21"/>
                <w:lang w:bidi="ar"/>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w:t>
            </w:r>
            <w:r>
              <w:rPr>
                <w:rFonts w:hint="eastAsia" w:asciiTheme="minorEastAsia" w:hAnsiTheme="minorEastAsia" w:eastAsiaTheme="minorEastAsia"/>
                <w:color w:val="000000"/>
                <w:szCs w:val="21"/>
                <w:lang w:bidi="ar"/>
              </w:rPr>
              <w:t>一</w:t>
            </w:r>
            <w:r>
              <w:rPr>
                <w:rFonts w:asciiTheme="minorEastAsia" w:hAnsiTheme="minorEastAsia" w:eastAsiaTheme="minorEastAsia"/>
                <w:color w:val="000000"/>
                <w:szCs w:val="21"/>
                <w:lang w:bidi="ar"/>
              </w:rPr>
              <w:t>）火灾自动报警系统</w:t>
            </w:r>
            <w:r>
              <w:rPr>
                <w:rFonts w:hint="eastAsia" w:ascii="宋体" w:hAnsi="宋体" w:cs="宋体"/>
                <w:bCs/>
                <w:color w:val="000000"/>
                <w:sz w:val="24"/>
              </w:rPr>
              <w:t>、</w:t>
            </w:r>
            <w:r>
              <w:rPr>
                <w:rFonts w:asciiTheme="minorEastAsia" w:hAnsiTheme="minorEastAsia" w:eastAsiaTheme="minorEastAsia"/>
                <w:sz w:val="24"/>
              </w:rPr>
              <w:t>消防联动控制系统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火灾探测器、手动报警按钮、信号输入输出模块外观及运行状态。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火灾报警控制器、火灾报警</w:t>
            </w:r>
            <w:r>
              <w:rPr>
                <w:rFonts w:hint="eastAsia" w:asciiTheme="minorEastAsia" w:hAnsiTheme="minorEastAsia" w:eastAsiaTheme="minorEastAsia"/>
                <w:color w:val="000000"/>
                <w:szCs w:val="21"/>
                <w:lang w:bidi="ar"/>
              </w:rPr>
              <w:t>探测</w:t>
            </w:r>
            <w:r>
              <w:rPr>
                <w:rFonts w:asciiTheme="minorEastAsia" w:hAnsiTheme="minorEastAsia" w:eastAsiaTheme="minorEastAsia"/>
                <w:color w:val="000000"/>
                <w:szCs w:val="21"/>
                <w:lang w:bidi="ar"/>
              </w:rPr>
              <w:t>器、火灾显示盘运行状况。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消防联动控制器外观及运行状况。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火灾报警装置外观。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消防设施远程监控、信息显示、信息传输装置外观及运行状况。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系统接地装置情况。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（二）自动</w:t>
            </w:r>
            <w:r>
              <w:rPr>
                <w:rFonts w:asciiTheme="minorEastAsia" w:hAnsiTheme="minorEastAsia" w:eastAsiaTheme="minorEastAsia"/>
                <w:color w:val="000000"/>
                <w:szCs w:val="21"/>
                <w:lang w:bidi="ar"/>
              </w:rPr>
              <w:t>气体灭火系统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气体灭火控制器外观、工作状态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储瓶间环境，气体瓶组或储罐外观，检漏装置外观、运行状况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容器阀、选择阀、驱动装置等组件外观</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紧急启/停按钮外观，喷嘴外观、防护区状况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预制灭火装置外观、设置位置、控制装置外观及运行状况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放气指示灯及警报器外观</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firstLineChars="20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低压二氧化碳系统制冷装置、控制装置、安全阀等组件外观、运行状况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（三）</w:t>
            </w:r>
            <w:r>
              <w:rPr>
                <w:rFonts w:asciiTheme="minorEastAsia" w:hAnsiTheme="minorEastAsia" w:eastAsiaTheme="minorEastAsia"/>
                <w:color w:val="000000"/>
                <w:szCs w:val="21"/>
                <w:lang w:bidi="ar"/>
              </w:rPr>
              <w:t>自动喷水灭火系统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喷头外观及周边障碍物或保护对象的距离。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报警阀组外观、试验阀门状况、排水设施状况、压力显示值。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充气设备及控制装置、排气设备及控制装置、火灾探测传动及现场手动控制装置外观及运行状况。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楼层或区域末端试验阀门处压力值及现场环境，系统末端试验装置外观及现场环境。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（四）</w:t>
            </w:r>
            <w:r>
              <w:rPr>
                <w:rFonts w:asciiTheme="minorEastAsia" w:hAnsiTheme="minorEastAsia" w:eastAsiaTheme="minorEastAsia"/>
                <w:color w:val="000000"/>
                <w:szCs w:val="21"/>
                <w:lang w:bidi="ar"/>
              </w:rPr>
              <w:t>消火栓系统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室内消火栓、消防卷盘外观及配件完整情况。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屋顶试验消火栓外观及配件完整情况、压力显示装置外观及状态显示。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室外消火栓外观、地下消火栓标识、栓井环境。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现场火灾探测控制装置、回旋装置等外观及周边环境。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起泵按钮外观。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（五）</w:t>
            </w:r>
            <w:r>
              <w:rPr>
                <w:rFonts w:asciiTheme="minorEastAsia" w:hAnsiTheme="minorEastAsia" w:eastAsiaTheme="minorEastAsia"/>
                <w:color w:val="000000"/>
                <w:szCs w:val="21"/>
                <w:lang w:bidi="ar"/>
              </w:rPr>
              <w:t>防烟、排烟系统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送风阀外观。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送风机及控制柜外观及工作状态。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挡烟垂壁及其控制装置外观及工作状况、排烟阀及其控制装置外观。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电动排烟窗、自然排烟设施外观。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排烟机及控制柜外观及工作状况。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送风、排烟机房环境。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（六）</w:t>
            </w:r>
            <w:r>
              <w:rPr>
                <w:rFonts w:asciiTheme="minorEastAsia" w:hAnsiTheme="minorEastAsia" w:eastAsiaTheme="minorEastAsia"/>
                <w:color w:val="000000"/>
                <w:szCs w:val="21"/>
                <w:lang w:bidi="ar"/>
              </w:rPr>
              <w:t>防火分隔</w:t>
            </w:r>
            <w:r>
              <w:rPr>
                <w:rFonts w:hint="eastAsia" w:asciiTheme="minorEastAsia" w:hAnsiTheme="minorEastAsia" w:eastAsiaTheme="minorEastAsia"/>
                <w:color w:val="000000"/>
                <w:szCs w:val="21"/>
                <w:lang w:bidi="ar"/>
              </w:rPr>
              <w:t>设</w:t>
            </w:r>
            <w:r>
              <w:rPr>
                <w:rFonts w:asciiTheme="minorEastAsia" w:hAnsiTheme="minorEastAsia" w:eastAsiaTheme="minorEastAsia"/>
                <w:color w:val="000000"/>
                <w:szCs w:val="21"/>
                <w:lang w:bidi="ar"/>
              </w:rPr>
              <w:t>施</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防火窗外观及固定情况。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防火门外观及配件完整性，防火门启闭状况及周边环境。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电动型防火门控制装置外观及工作状态。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防火卷帘门外观及配件完整性，防火卷帘控制装置外观及工作状态。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防火墙外观、防火阀外观及工作状况。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防火封堵外观。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（七）</w:t>
            </w:r>
            <w:r>
              <w:rPr>
                <w:rFonts w:hint="eastAsia" w:asciiTheme="minorEastAsia" w:hAnsiTheme="minorEastAsia" w:eastAsiaTheme="minorEastAsia"/>
                <w:szCs w:val="21"/>
              </w:rPr>
              <w:t>应急照明和疏散指示标志系统</w:t>
            </w:r>
          </w:p>
        </w:tc>
        <w:tc>
          <w:tcPr>
            <w:tcW w:w="7210" w:type="dxa"/>
            <w:vAlign w:val="center"/>
          </w:tcPr>
          <w:p>
            <w:pPr>
              <w:snapToGrid w:val="0"/>
              <w:spacing w:line="240" w:lineRule="exact"/>
              <w:ind w:firstLine="420"/>
              <w:jc w:val="left"/>
              <w:rPr>
                <w:rFonts w:asciiTheme="minorEastAsia" w:hAnsiTheme="minorEastAsia" w:eastAsiaTheme="minorEastAsia"/>
                <w:color w:val="000000"/>
                <w:szCs w:val="21"/>
                <w:lang w:bidi="ar"/>
              </w:rPr>
            </w:pPr>
            <w:r>
              <w:rPr>
                <w:rFonts w:hint="eastAsia" w:asciiTheme="minorEastAsia" w:hAnsiTheme="minorEastAsia" w:eastAsiaTheme="minorEastAsia"/>
                <w:szCs w:val="21"/>
              </w:rPr>
              <w:t>查看火灾应急照明和疏散指示标志外观。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hint="eastAsia" w:asciiTheme="minorEastAsia" w:hAnsiTheme="minorEastAsia" w:eastAsiaTheme="minorEastAsia"/>
                <w:szCs w:val="21"/>
              </w:rPr>
              <w:t>手动切断市电，检查应急照明灯和疏散指示标志的启动。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（八）消防</w:t>
            </w:r>
            <w:r>
              <w:rPr>
                <w:rFonts w:asciiTheme="minorEastAsia" w:hAnsiTheme="minorEastAsia" w:eastAsiaTheme="minorEastAsia"/>
                <w:color w:val="000000"/>
                <w:szCs w:val="21"/>
                <w:lang w:bidi="ar"/>
              </w:rPr>
              <w:t>通讯设备及应急广播系统</w:t>
            </w: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消防电话主机外观、工作状态。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分机电话外观，电话插孔外观，插孔电话机外观。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应急广播扬声器外观。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snapToGrid w:val="0"/>
              <w:spacing w:line="240" w:lineRule="exact"/>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功放、卡座、分配盘外观及工作状态。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（九）</w:t>
            </w:r>
            <w:r>
              <w:rPr>
                <w:rFonts w:asciiTheme="minorEastAsia" w:hAnsiTheme="minorEastAsia" w:eastAsiaTheme="minorEastAsia"/>
                <w:color w:val="000000"/>
                <w:szCs w:val="21"/>
                <w:lang w:bidi="ar"/>
              </w:rPr>
              <w:t>消防供电设施</w:t>
            </w: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消防电源主电源、备用电源工作状态。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发电机启动装置外观及工作状态、发电机燃料储量、储油间环境。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消防配电房、UPS 电池室、发电机房环境。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消防设备末端配电箱切换装置工作状态。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624" w:type="dxa"/>
            <w:vMerge w:val="restart"/>
            <w:vAlign w:val="center"/>
          </w:tcPr>
          <w:p>
            <w:pPr>
              <w:widowControl/>
              <w:jc w:val="center"/>
              <w:rPr>
                <w:rFonts w:asciiTheme="minorEastAsia" w:hAnsiTheme="minorEastAsia" w:eastAsiaTheme="minorEastAsia"/>
                <w:color w:val="000000"/>
                <w:szCs w:val="21"/>
                <w:lang w:bidi="ar"/>
              </w:rPr>
            </w:pPr>
            <w:r>
              <w:rPr>
                <w:rFonts w:hint="eastAsia" w:asciiTheme="minorEastAsia" w:hAnsiTheme="minorEastAsia" w:eastAsiaTheme="minorEastAsia"/>
                <w:color w:val="000000"/>
                <w:szCs w:val="21"/>
                <w:lang w:bidi="ar"/>
              </w:rPr>
              <w:t>（十）</w:t>
            </w:r>
            <w:r>
              <w:rPr>
                <w:rFonts w:asciiTheme="minorEastAsia" w:hAnsiTheme="minorEastAsia" w:eastAsiaTheme="minorEastAsia"/>
                <w:color w:val="000000"/>
                <w:szCs w:val="21"/>
                <w:lang w:bidi="ar"/>
              </w:rPr>
              <w:t>消防供水设施</w:t>
            </w: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消防水池、消防水箱外观，液位显示装置外观及运行状况，进户管外观</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消防水泵及控制柜工作状态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稳压泵、增压泵、气压水罐及控制柜工作状态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7"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水泵接合器外观、标识</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系统减压、泄压装置、测试装置、压力表等外观及运行状况</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管网控制阀门启闭状态</w:t>
            </w:r>
            <w:r>
              <w:rPr>
                <w:rFonts w:hint="eastAsia" w:asciiTheme="minorEastAsia" w:hAnsiTheme="minorEastAsia" w:eastAsiaTheme="minorEastAsia"/>
                <w:color w:val="000000"/>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624" w:type="dxa"/>
            <w:vMerge w:val="continue"/>
            <w:vAlign w:val="center"/>
          </w:tcPr>
          <w:p>
            <w:pPr>
              <w:widowControl/>
              <w:ind w:firstLine="420"/>
              <w:jc w:val="center"/>
              <w:rPr>
                <w:rFonts w:asciiTheme="minorEastAsia" w:hAnsiTheme="minorEastAsia" w:eastAsiaTheme="minorEastAsia"/>
                <w:color w:val="000000"/>
                <w:szCs w:val="21"/>
                <w:lang w:bidi="ar"/>
              </w:rPr>
            </w:pPr>
          </w:p>
        </w:tc>
        <w:tc>
          <w:tcPr>
            <w:tcW w:w="7210" w:type="dxa"/>
            <w:vAlign w:val="center"/>
          </w:tcPr>
          <w:p>
            <w:pPr>
              <w:widowControl/>
              <w:ind w:firstLine="420"/>
              <w:jc w:val="left"/>
              <w:rPr>
                <w:rFonts w:asciiTheme="minorEastAsia" w:hAnsiTheme="minorEastAsia" w:eastAsiaTheme="minorEastAsia"/>
                <w:color w:val="000000"/>
                <w:szCs w:val="21"/>
                <w:lang w:bidi="ar"/>
              </w:rPr>
            </w:pPr>
            <w:r>
              <w:rPr>
                <w:rFonts w:asciiTheme="minorEastAsia" w:hAnsiTheme="minorEastAsia" w:eastAsiaTheme="minorEastAsia"/>
                <w:color w:val="000000"/>
                <w:szCs w:val="21"/>
                <w:lang w:bidi="ar"/>
              </w:rPr>
              <w:t>泵房照明、排水等工作环境</w:t>
            </w:r>
            <w:r>
              <w:rPr>
                <w:rFonts w:hint="eastAsia" w:asciiTheme="minorEastAsia" w:hAnsiTheme="minorEastAsia" w:eastAsiaTheme="minorEastAsia"/>
                <w:color w:val="000000"/>
                <w:szCs w:val="21"/>
                <w:lang w:bidi="ar"/>
              </w:rPr>
              <w:t>。</w:t>
            </w:r>
          </w:p>
        </w:tc>
      </w:tr>
    </w:tbl>
    <w:p>
      <w:pPr>
        <w:pStyle w:val="7"/>
        <w:spacing w:line="400" w:lineRule="exact"/>
        <w:ind w:firstLine="0" w:firstLineChars="0"/>
        <w:rPr>
          <w:rFonts w:ascii="宋体" w:hAnsi="宋体" w:cs="宋体"/>
          <w:b/>
          <w:color w:val="000000"/>
          <w:kern w:val="0"/>
          <w:sz w:val="24"/>
          <w:lang w:bidi="zh-CN"/>
        </w:rPr>
      </w:pPr>
    </w:p>
    <w:p>
      <w:pPr>
        <w:pStyle w:val="7"/>
        <w:spacing w:line="400" w:lineRule="exact"/>
        <w:ind w:firstLine="0" w:firstLineChars="0"/>
        <w:rPr>
          <w:rFonts w:ascii="宋体" w:hAnsi="宋体" w:cs="宋体"/>
          <w:b/>
          <w:color w:val="000000"/>
          <w:kern w:val="0"/>
          <w:sz w:val="24"/>
          <w:lang w:bidi="zh-CN"/>
        </w:rPr>
      </w:pPr>
    </w:p>
    <w:p>
      <w:pPr>
        <w:pStyle w:val="7"/>
        <w:spacing w:line="400" w:lineRule="exact"/>
        <w:ind w:firstLine="0" w:firstLineChars="0"/>
        <w:rPr>
          <w:rFonts w:ascii="宋体" w:hAnsi="宋体" w:cs="宋体"/>
          <w:b/>
          <w:color w:val="000000"/>
          <w:kern w:val="0"/>
          <w:sz w:val="24"/>
          <w:lang w:bidi="zh-CN"/>
        </w:rPr>
      </w:pPr>
    </w:p>
    <w:p>
      <w:pPr>
        <w:pStyle w:val="7"/>
        <w:spacing w:line="400" w:lineRule="exact"/>
        <w:ind w:firstLine="0" w:firstLineChars="0"/>
        <w:rPr>
          <w:rFonts w:ascii="宋体" w:hAnsi="宋体" w:cs="宋体"/>
          <w:b/>
          <w:color w:val="000000"/>
          <w:kern w:val="0"/>
          <w:sz w:val="24"/>
          <w:lang w:bidi="zh-CN"/>
        </w:rPr>
      </w:pPr>
    </w:p>
    <w:p>
      <w:pPr>
        <w:widowControl/>
        <w:numPr>
          <w:ilvl w:val="0"/>
          <w:numId w:val="4"/>
        </w:numPr>
        <w:spacing w:line="360" w:lineRule="auto"/>
        <w:ind w:firstLine="482" w:firstLineChars="200"/>
        <w:jc w:val="left"/>
        <w:rPr>
          <w:rFonts w:ascii="宋体" w:hAnsi="宋体" w:cs="宋体"/>
          <w:b/>
          <w:bCs/>
          <w:color w:val="000000"/>
          <w:kern w:val="0"/>
          <w:sz w:val="24"/>
          <w:lang w:bidi="ar"/>
        </w:rPr>
      </w:pPr>
      <w:r>
        <w:rPr>
          <w:rFonts w:hint="eastAsia" w:ascii="宋体" w:hAnsi="宋体" w:cs="宋体"/>
          <w:b/>
          <w:bCs/>
          <w:color w:val="000000"/>
          <w:kern w:val="0"/>
          <w:sz w:val="24"/>
          <w:lang w:bidi="ar"/>
        </w:rPr>
        <w:t>主要工作内容</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对消防系统</w:t>
      </w:r>
      <w:r>
        <w:rPr>
          <w:rFonts w:ascii="宋体" w:hAnsi="宋体" w:cs="宋体"/>
          <w:color w:val="000000"/>
          <w:kern w:val="0"/>
          <w:sz w:val="24"/>
          <w:lang w:bidi="ar"/>
        </w:rPr>
        <w:t>及</w:t>
      </w:r>
      <w:r>
        <w:rPr>
          <w:rFonts w:hint="eastAsia" w:ascii="宋体" w:hAnsi="宋体" w:cs="宋体"/>
          <w:color w:val="000000"/>
          <w:kern w:val="0"/>
          <w:sz w:val="24"/>
          <w:lang w:bidi="ar"/>
        </w:rPr>
        <w:t>设施定期巡查、检修、维护、保养、检测等。</w:t>
      </w:r>
    </w:p>
    <w:p>
      <w:pPr>
        <w:widowControl/>
        <w:spacing w:line="360" w:lineRule="auto"/>
        <w:ind w:firstLine="480" w:firstLineChars="200"/>
        <w:jc w:val="left"/>
        <w:rPr>
          <w:rFonts w:ascii="宋体" w:hAnsi="宋体" w:cs="宋体"/>
          <w:sz w:val="24"/>
        </w:rPr>
      </w:pPr>
      <w:r>
        <w:rPr>
          <w:rFonts w:hint="eastAsia" w:ascii="宋体" w:hAnsi="宋体" w:cs="宋体"/>
          <w:color w:val="000000"/>
          <w:kern w:val="0"/>
          <w:sz w:val="24"/>
          <w:lang w:bidi="ar"/>
        </w:rPr>
        <w:t>1.巡检（巡查、检修、保养）服务。每月对消防设施进行一次全面检查，排除系统故障，确保系统稳定运行。</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2.维护服务。在巡检（巡查、检修、保养）服务中对系统故障进行维修，恢复系统正常运行。</w:t>
      </w:r>
    </w:p>
    <w:p>
      <w:pPr>
        <w:widowControl/>
        <w:spacing w:line="360" w:lineRule="auto"/>
        <w:ind w:firstLine="480" w:firstLineChars="200"/>
        <w:jc w:val="left"/>
        <w:rPr>
          <w:rFonts w:eastAsia="仿宋"/>
          <w:color w:val="000000"/>
          <w:kern w:val="0"/>
          <w:sz w:val="32"/>
          <w:szCs w:val="32"/>
          <w:lang w:bidi="ar"/>
        </w:rPr>
      </w:pPr>
      <w:r>
        <w:rPr>
          <w:rFonts w:hint="eastAsia" w:ascii="宋体" w:hAnsi="宋体" w:cs="宋体"/>
          <w:color w:val="000000"/>
          <w:kern w:val="0"/>
          <w:sz w:val="24"/>
          <w:lang w:bidi="ar"/>
        </w:rPr>
        <w:t>3.年度检测。每年对消防系统进行检测并出具检测报告。</w:t>
      </w:r>
    </w:p>
    <w:p>
      <w:pPr>
        <w:pStyle w:val="7"/>
        <w:spacing w:line="400" w:lineRule="exact"/>
        <w:ind w:firstLine="482"/>
        <w:rPr>
          <w:rFonts w:ascii="宋体" w:hAnsi="宋体" w:cs="宋体"/>
          <w:b/>
          <w:color w:val="000000"/>
          <w:kern w:val="0"/>
          <w:sz w:val="24"/>
          <w:lang w:bidi="zh-CN"/>
        </w:rPr>
      </w:pPr>
      <w:r>
        <w:rPr>
          <w:rFonts w:hint="eastAsia" w:ascii="宋体" w:hAnsi="宋体" w:cs="宋体"/>
          <w:b/>
          <w:color w:val="000000"/>
          <w:kern w:val="0"/>
          <w:sz w:val="24"/>
          <w:lang w:bidi="zh-CN"/>
        </w:rPr>
        <w:t>三、商务要求</w:t>
      </w:r>
    </w:p>
    <w:p>
      <w:pPr>
        <w:widowControl/>
        <w:spacing w:line="360" w:lineRule="auto"/>
        <w:ind w:firstLine="480" w:firstLineChars="200"/>
        <w:jc w:val="left"/>
        <w:rPr>
          <w:rFonts w:hint="default" w:ascii="宋体" w:hAnsi="宋体" w:eastAsia="宋体" w:cs="宋体"/>
          <w:color w:val="000000"/>
          <w:kern w:val="0"/>
          <w:sz w:val="24"/>
          <w:lang w:val="en-US" w:eastAsia="zh-CN" w:bidi="ar"/>
        </w:rPr>
      </w:pPr>
      <w:bookmarkStart w:id="223" w:name="_Toc31022"/>
      <w:bookmarkStart w:id="224" w:name="_Toc2108_WPSOffice_Level1"/>
      <w:r>
        <w:rPr>
          <w:rFonts w:hint="eastAsia" w:ascii="宋体" w:hAnsi="宋体" w:cs="宋体"/>
          <w:color w:val="000000"/>
          <w:kern w:val="0"/>
          <w:sz w:val="24"/>
          <w:lang w:bidi="ar"/>
        </w:rPr>
        <w:t>1.服务期限：三年</w:t>
      </w:r>
      <w:r>
        <w:rPr>
          <w:rFonts w:hint="eastAsia" w:ascii="宋体" w:hAnsi="宋体" w:cs="宋体"/>
          <w:color w:val="000000"/>
          <w:kern w:val="0"/>
          <w:sz w:val="24"/>
          <w:lang w:eastAsia="zh-CN" w:bidi="ar"/>
        </w:rPr>
        <w:t>，</w:t>
      </w:r>
      <w:r>
        <w:rPr>
          <w:rFonts w:hint="eastAsia" w:ascii="宋体" w:hAnsi="宋体" w:cs="宋体"/>
          <w:color w:val="000000"/>
          <w:kern w:val="0"/>
          <w:sz w:val="24"/>
          <w:lang w:val="en-US" w:eastAsia="zh-CN" w:bidi="ar"/>
        </w:rPr>
        <w:t>服务合同一年一签，合同期满经采购人考核合格，方可续签下一年度服务合同</w:t>
      </w:r>
      <w:r>
        <w:rPr>
          <w:rFonts w:hint="eastAsia" w:ascii="宋体" w:hAnsi="宋体" w:cs="宋体"/>
          <w:color w:val="000000"/>
          <w:kern w:val="0"/>
          <w:sz w:val="24"/>
          <w:lang w:bidi="ar"/>
        </w:rPr>
        <w:t>。</w:t>
      </w:r>
      <w:r>
        <w:rPr>
          <w:rFonts w:hint="eastAsia" w:ascii="宋体" w:hAnsi="宋体" w:cs="宋体"/>
          <w:color w:val="000000"/>
          <w:kern w:val="0"/>
          <w:sz w:val="24"/>
          <w:lang w:val="en-US" w:eastAsia="zh-CN" w:bidi="ar"/>
        </w:rPr>
        <w:t>如考核不合格，采购人有权中止服务合同，并重新招标。</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2.服务地点：</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val="en-US" w:eastAsia="zh-CN" w:bidi="ar"/>
        </w:rPr>
        <w:t>南江县妇幼保健院（南江县集州街道米仓山大道文庙滨河路168号）</w:t>
      </w:r>
      <w:r>
        <w:rPr>
          <w:rFonts w:hint="eastAsia" w:ascii="宋体" w:hAnsi="宋体" w:cs="宋体"/>
          <w:color w:val="000000"/>
          <w:kern w:val="0"/>
          <w:sz w:val="24"/>
          <w:lang w:bidi="ar"/>
        </w:rPr>
        <w:t>；</w:t>
      </w:r>
    </w:p>
    <w:p>
      <w:pPr>
        <w:pStyle w:val="16"/>
        <w:spacing w:line="360" w:lineRule="auto"/>
        <w:ind w:firstLine="480" w:firstLineChars="200"/>
        <w:rPr>
          <w:rFonts w:asciiTheme="minorEastAsia" w:hAnsiTheme="minorEastAsia" w:eastAsiaTheme="minorEastAsia"/>
          <w:sz w:val="24"/>
          <w:szCs w:val="24"/>
          <w:lang w:bidi="ar"/>
        </w:rPr>
      </w:pPr>
      <w:r>
        <w:rPr>
          <w:rFonts w:hint="eastAsia" w:asciiTheme="minorEastAsia" w:hAnsiTheme="minorEastAsia" w:eastAsiaTheme="minorEastAsia"/>
          <w:sz w:val="24"/>
          <w:szCs w:val="24"/>
          <w:lang w:bidi="ar"/>
        </w:rPr>
        <w:t>3.前期</w:t>
      </w:r>
      <w:r>
        <w:rPr>
          <w:rFonts w:asciiTheme="minorEastAsia" w:hAnsiTheme="minorEastAsia" w:eastAsiaTheme="minorEastAsia"/>
          <w:sz w:val="24"/>
          <w:szCs w:val="24"/>
          <w:lang w:bidi="ar"/>
        </w:rPr>
        <w:t>排查</w:t>
      </w:r>
      <w:r>
        <w:rPr>
          <w:rFonts w:hint="eastAsia" w:asciiTheme="minorEastAsia" w:hAnsiTheme="minorEastAsia" w:eastAsiaTheme="minorEastAsia"/>
          <w:sz w:val="24"/>
          <w:szCs w:val="24"/>
          <w:lang w:bidi="ar"/>
        </w:rPr>
        <w:t>：中标</w:t>
      </w:r>
      <w:r>
        <w:rPr>
          <w:rFonts w:asciiTheme="minorEastAsia" w:hAnsiTheme="minorEastAsia" w:eastAsiaTheme="minorEastAsia"/>
          <w:sz w:val="24"/>
          <w:szCs w:val="24"/>
          <w:lang w:bidi="ar"/>
        </w:rPr>
        <w:t>人在签订合同后的</w:t>
      </w:r>
      <w:r>
        <w:rPr>
          <w:rFonts w:hint="eastAsia" w:asciiTheme="minorEastAsia" w:hAnsiTheme="minorEastAsia" w:eastAsiaTheme="minorEastAsia"/>
          <w:sz w:val="24"/>
          <w:szCs w:val="24"/>
          <w:lang w:bidi="ar"/>
        </w:rPr>
        <w:t>1</w:t>
      </w:r>
      <w:r>
        <w:rPr>
          <w:rFonts w:asciiTheme="minorEastAsia" w:hAnsiTheme="minorEastAsia" w:eastAsiaTheme="minorEastAsia"/>
          <w:sz w:val="24"/>
          <w:szCs w:val="24"/>
          <w:lang w:bidi="ar"/>
        </w:rPr>
        <w:t>5</w:t>
      </w:r>
      <w:r>
        <w:rPr>
          <w:rFonts w:hint="eastAsia" w:asciiTheme="minorEastAsia" w:hAnsiTheme="minorEastAsia" w:eastAsiaTheme="minorEastAsia"/>
          <w:sz w:val="24"/>
          <w:szCs w:val="24"/>
          <w:lang w:bidi="ar"/>
        </w:rPr>
        <w:t>个</w:t>
      </w:r>
      <w:r>
        <w:rPr>
          <w:rFonts w:asciiTheme="minorEastAsia" w:hAnsiTheme="minorEastAsia" w:eastAsiaTheme="minorEastAsia"/>
          <w:sz w:val="24"/>
          <w:szCs w:val="24"/>
          <w:lang w:bidi="ar"/>
        </w:rPr>
        <w:t>工作日内对</w:t>
      </w:r>
      <w:r>
        <w:rPr>
          <w:rFonts w:hint="eastAsia" w:asciiTheme="minorEastAsia" w:hAnsiTheme="minorEastAsia" w:eastAsiaTheme="minorEastAsia"/>
          <w:sz w:val="24"/>
          <w:szCs w:val="24"/>
          <w:lang w:val="en-US" w:eastAsia="zh-CN" w:bidi="ar"/>
        </w:rPr>
        <w:t>采购人所有</w:t>
      </w:r>
      <w:r>
        <w:rPr>
          <w:rFonts w:asciiTheme="minorEastAsia" w:hAnsiTheme="minorEastAsia" w:eastAsiaTheme="minorEastAsia"/>
          <w:sz w:val="24"/>
          <w:szCs w:val="24"/>
          <w:lang w:bidi="ar"/>
        </w:rPr>
        <w:t>的消防系统</w:t>
      </w:r>
      <w:r>
        <w:rPr>
          <w:rFonts w:hint="eastAsia" w:asciiTheme="minorEastAsia" w:hAnsiTheme="minorEastAsia" w:eastAsiaTheme="minorEastAsia"/>
          <w:sz w:val="24"/>
          <w:szCs w:val="24"/>
          <w:lang w:bidi="ar"/>
        </w:rPr>
        <w:t>、设施</w:t>
      </w:r>
      <w:r>
        <w:rPr>
          <w:rFonts w:asciiTheme="minorEastAsia" w:hAnsiTheme="minorEastAsia" w:eastAsiaTheme="minorEastAsia"/>
          <w:sz w:val="24"/>
          <w:szCs w:val="24"/>
          <w:lang w:bidi="ar"/>
        </w:rPr>
        <w:t>等进行</w:t>
      </w:r>
      <w:r>
        <w:rPr>
          <w:rFonts w:hint="eastAsia" w:asciiTheme="minorEastAsia" w:hAnsiTheme="minorEastAsia" w:eastAsiaTheme="minorEastAsia"/>
          <w:sz w:val="24"/>
          <w:szCs w:val="24"/>
          <w:lang w:bidi="ar"/>
        </w:rPr>
        <w:t>一</w:t>
      </w:r>
      <w:r>
        <w:rPr>
          <w:rFonts w:asciiTheme="minorEastAsia" w:hAnsiTheme="minorEastAsia" w:eastAsiaTheme="minorEastAsia"/>
          <w:sz w:val="24"/>
          <w:szCs w:val="24"/>
          <w:lang w:bidi="ar"/>
        </w:rPr>
        <w:t>次全面</w:t>
      </w:r>
      <w:r>
        <w:rPr>
          <w:rFonts w:hint="eastAsia" w:asciiTheme="minorEastAsia" w:hAnsiTheme="minorEastAsia" w:eastAsiaTheme="minorEastAsia"/>
          <w:sz w:val="24"/>
          <w:szCs w:val="24"/>
          <w:lang w:bidi="ar"/>
        </w:rPr>
        <w:t>的</w:t>
      </w:r>
      <w:r>
        <w:rPr>
          <w:rFonts w:asciiTheme="minorEastAsia" w:hAnsiTheme="minorEastAsia" w:eastAsiaTheme="minorEastAsia"/>
          <w:sz w:val="24"/>
          <w:szCs w:val="24"/>
          <w:lang w:bidi="ar"/>
        </w:rPr>
        <w:t>检查</w:t>
      </w:r>
      <w:r>
        <w:rPr>
          <w:rFonts w:hint="eastAsia" w:asciiTheme="minorEastAsia" w:hAnsiTheme="minorEastAsia" w:eastAsiaTheme="minorEastAsia"/>
          <w:sz w:val="24"/>
          <w:szCs w:val="24"/>
          <w:lang w:bidi="ar"/>
        </w:rPr>
        <w:t>，对</w:t>
      </w:r>
      <w:r>
        <w:rPr>
          <w:rFonts w:asciiTheme="minorEastAsia" w:hAnsiTheme="minorEastAsia" w:eastAsiaTheme="minorEastAsia"/>
          <w:sz w:val="24"/>
          <w:szCs w:val="24"/>
          <w:lang w:bidi="ar"/>
        </w:rPr>
        <w:t>发现的问题列出清单及时向采购人报告</w:t>
      </w:r>
      <w:r>
        <w:rPr>
          <w:rFonts w:hint="eastAsia" w:asciiTheme="minorEastAsia" w:hAnsiTheme="minorEastAsia" w:eastAsiaTheme="minorEastAsia"/>
          <w:sz w:val="24"/>
          <w:szCs w:val="24"/>
          <w:lang w:bidi="ar"/>
        </w:rPr>
        <w:t>，由</w:t>
      </w:r>
      <w:r>
        <w:rPr>
          <w:rFonts w:asciiTheme="minorEastAsia" w:hAnsiTheme="minorEastAsia" w:eastAsiaTheme="minorEastAsia"/>
          <w:sz w:val="24"/>
          <w:szCs w:val="24"/>
          <w:lang w:bidi="ar"/>
        </w:rPr>
        <w:t>采购人及时整改</w:t>
      </w:r>
      <w:r>
        <w:rPr>
          <w:rFonts w:hint="eastAsia" w:asciiTheme="minorEastAsia" w:hAnsiTheme="minorEastAsia" w:eastAsiaTheme="minorEastAsia"/>
          <w:sz w:val="24"/>
          <w:szCs w:val="24"/>
          <w:lang w:eastAsia="zh-CN" w:bidi="ar"/>
        </w:rPr>
        <w:t>，</w:t>
      </w:r>
      <w:r>
        <w:rPr>
          <w:rFonts w:hint="eastAsia" w:asciiTheme="minorEastAsia" w:hAnsiTheme="minorEastAsia" w:eastAsiaTheme="minorEastAsia"/>
          <w:sz w:val="24"/>
          <w:szCs w:val="24"/>
          <w:lang w:val="en-US" w:eastAsia="zh-CN" w:bidi="ar"/>
        </w:rPr>
        <w:t>属维保范围的由中标人负责整改</w:t>
      </w:r>
      <w:r>
        <w:rPr>
          <w:rFonts w:hint="eastAsia" w:asciiTheme="minorEastAsia" w:hAnsiTheme="minorEastAsia" w:eastAsiaTheme="minorEastAsia"/>
          <w:sz w:val="24"/>
          <w:szCs w:val="24"/>
          <w:lang w:bidi="ar"/>
        </w:rPr>
        <w:t>。</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4</w:t>
      </w:r>
      <w:r>
        <w:rPr>
          <w:rFonts w:hint="eastAsia" w:ascii="宋体" w:hAnsi="宋体" w:cs="宋体"/>
          <w:color w:val="000000"/>
          <w:kern w:val="0"/>
          <w:sz w:val="24"/>
          <w:lang w:bidi="ar"/>
        </w:rPr>
        <w:t>.付款方式：合同签订后的</w:t>
      </w:r>
      <w:r>
        <w:rPr>
          <w:rFonts w:ascii="宋体" w:hAnsi="宋体" w:cs="宋体"/>
          <w:color w:val="000000"/>
          <w:kern w:val="0"/>
          <w:sz w:val="24"/>
          <w:lang w:bidi="ar"/>
        </w:rPr>
        <w:t>每</w:t>
      </w:r>
      <w:r>
        <w:rPr>
          <w:rFonts w:hint="eastAsia" w:asciiTheme="minorEastAsia" w:hAnsiTheme="minorEastAsia" w:eastAsiaTheme="minorEastAsia"/>
          <w:sz w:val="24"/>
        </w:rPr>
        <w:t>一</w:t>
      </w:r>
      <w:r>
        <w:rPr>
          <w:rFonts w:asciiTheme="minorEastAsia" w:hAnsiTheme="minorEastAsia" w:eastAsiaTheme="minorEastAsia"/>
          <w:sz w:val="24"/>
        </w:rPr>
        <w:t>个年度费用</w:t>
      </w:r>
      <w:r>
        <w:rPr>
          <w:rFonts w:hint="eastAsia" w:asciiTheme="minorEastAsia" w:hAnsiTheme="minorEastAsia" w:eastAsiaTheme="minorEastAsia"/>
          <w:sz w:val="24"/>
          <w:lang w:val="en-US" w:eastAsia="zh-CN"/>
        </w:rPr>
        <w:t>在合同期满前30日内一次性</w:t>
      </w:r>
      <w:r>
        <w:rPr>
          <w:rFonts w:hint="eastAsia" w:asciiTheme="minorEastAsia" w:hAnsiTheme="minorEastAsia" w:eastAsiaTheme="minorEastAsia"/>
          <w:sz w:val="24"/>
        </w:rPr>
        <w:t>均</w:t>
      </w:r>
      <w:r>
        <w:rPr>
          <w:rFonts w:asciiTheme="minorEastAsia" w:hAnsiTheme="minorEastAsia" w:eastAsiaTheme="minorEastAsia"/>
          <w:sz w:val="24"/>
        </w:rPr>
        <w:t>支付</w:t>
      </w:r>
      <w:r>
        <w:rPr>
          <w:rFonts w:hint="eastAsia" w:asciiTheme="minorEastAsia" w:hAnsiTheme="minorEastAsia" w:eastAsiaTheme="minorEastAsia"/>
          <w:sz w:val="24"/>
        </w:rPr>
        <w:t>。</w:t>
      </w:r>
    </w:p>
    <w:p>
      <w:pPr>
        <w:widowControl/>
        <w:spacing w:line="360" w:lineRule="auto"/>
        <w:ind w:firstLine="480" w:firstLineChars="200"/>
        <w:jc w:val="left"/>
        <w:rPr>
          <w:rFonts w:ascii="宋体" w:hAnsi="宋体" w:cs="宋体"/>
          <w:color w:val="000000"/>
          <w:kern w:val="0"/>
          <w:sz w:val="24"/>
          <w:lang w:bidi="ar"/>
        </w:rPr>
      </w:pPr>
      <w:r>
        <w:rPr>
          <w:rFonts w:ascii="宋体" w:hAnsi="宋体" w:cs="宋体"/>
          <w:color w:val="000000"/>
          <w:kern w:val="0"/>
          <w:sz w:val="24"/>
          <w:lang w:bidi="ar"/>
        </w:rPr>
        <w:t>5</w:t>
      </w:r>
      <w:r>
        <w:rPr>
          <w:rFonts w:hint="eastAsia" w:ascii="宋体" w:hAnsi="宋体" w:cs="宋体"/>
          <w:color w:val="000000"/>
          <w:kern w:val="0"/>
          <w:sz w:val="24"/>
          <w:lang w:bidi="ar"/>
        </w:rPr>
        <w:t>.报价要求：投标人报价为完成本项目一切费用即包干价。</w:t>
      </w:r>
    </w:p>
    <w:p>
      <w:pPr>
        <w:widowControl/>
        <w:spacing w:line="360" w:lineRule="auto"/>
        <w:ind w:firstLine="480" w:firstLineChars="200"/>
        <w:jc w:val="left"/>
        <w:rPr>
          <w:rFonts w:ascii="宋体" w:hAnsi="宋体" w:cs="宋体"/>
          <w:color w:val="FF0000"/>
          <w:kern w:val="0"/>
          <w:sz w:val="24"/>
          <w:lang w:bidi="ar"/>
        </w:rPr>
      </w:pPr>
      <w:r>
        <w:rPr>
          <w:rFonts w:ascii="宋体" w:hAnsi="宋体" w:cs="宋体"/>
          <w:color w:val="000000"/>
          <w:kern w:val="0"/>
          <w:sz w:val="24"/>
          <w:lang w:bidi="ar"/>
        </w:rPr>
        <w:t>6</w:t>
      </w:r>
      <w:r>
        <w:rPr>
          <w:rFonts w:hint="eastAsia" w:ascii="宋体" w:hAnsi="宋体" w:cs="宋体"/>
          <w:color w:val="000000"/>
          <w:kern w:val="0"/>
          <w:sz w:val="24"/>
          <w:lang w:bidi="ar"/>
        </w:rPr>
        <w:t>.服务响应时间：30分钟内电话响应，</w:t>
      </w:r>
      <w:r>
        <w:rPr>
          <w:rFonts w:ascii="宋体" w:hAnsi="宋体" w:cs="宋体"/>
          <w:kern w:val="0"/>
          <w:sz w:val="24"/>
          <w:lang w:bidi="ar"/>
        </w:rPr>
        <w:t>1</w:t>
      </w:r>
      <w:r>
        <w:rPr>
          <w:rFonts w:hint="eastAsia" w:ascii="宋体" w:hAnsi="宋体" w:cs="宋体"/>
          <w:kern w:val="0"/>
          <w:sz w:val="24"/>
          <w:lang w:bidi="ar"/>
        </w:rPr>
        <w:t>小时内到达故障设备现场并维修。</w:t>
      </w:r>
    </w:p>
    <w:p>
      <w:pPr>
        <w:rPr>
          <w:rFonts w:ascii="宋体" w:hAnsi="宋体" w:cs="宋体"/>
          <w:sz w:val="36"/>
        </w:rPr>
      </w:pPr>
      <w:bookmarkStart w:id="225" w:name="_Toc24224"/>
    </w:p>
    <w:p>
      <w:pPr>
        <w:pStyle w:val="16"/>
        <w:ind w:firstLine="340"/>
      </w:pPr>
    </w:p>
    <w:p>
      <w:pPr>
        <w:pStyle w:val="5"/>
        <w:spacing w:line="360" w:lineRule="exact"/>
        <w:outlineLvl w:val="9"/>
        <w:rPr>
          <w:rFonts w:ascii="宋体" w:hAnsi="宋体" w:eastAsia="宋体" w:cs="宋体"/>
          <w:sz w:val="36"/>
        </w:rPr>
      </w:pPr>
    </w:p>
    <w:p>
      <w:pPr>
        <w:rPr>
          <w:rFonts w:ascii="宋体" w:hAnsi="宋体" w:eastAsia="宋体" w:cs="宋体"/>
          <w:sz w:val="36"/>
        </w:rPr>
      </w:pPr>
    </w:p>
    <w:p>
      <w:pPr>
        <w:pStyle w:val="2"/>
      </w:pPr>
    </w:p>
    <w:p/>
    <w:p>
      <w:pPr>
        <w:pStyle w:val="5"/>
        <w:spacing w:line="360" w:lineRule="exact"/>
        <w:jc w:val="center"/>
        <w:outlineLvl w:val="0"/>
        <w:rPr>
          <w:rFonts w:ascii="宋体" w:hAnsi="宋体" w:eastAsia="宋体" w:cs="宋体"/>
          <w:sz w:val="36"/>
        </w:rPr>
      </w:pPr>
      <w:bookmarkStart w:id="226" w:name="_Toc32434"/>
      <w:r>
        <w:rPr>
          <w:rFonts w:hint="eastAsia" w:ascii="宋体" w:hAnsi="宋体" w:eastAsia="宋体" w:cs="宋体"/>
          <w:sz w:val="36"/>
        </w:rPr>
        <w:t>第五章  评标办法</w:t>
      </w:r>
      <w:bookmarkEnd w:id="219"/>
      <w:bookmarkEnd w:id="220"/>
      <w:bookmarkEnd w:id="221"/>
      <w:bookmarkEnd w:id="223"/>
      <w:bookmarkEnd w:id="224"/>
      <w:bookmarkEnd w:id="225"/>
      <w:bookmarkEnd w:id="226"/>
    </w:p>
    <w:p>
      <w:pPr>
        <w:pStyle w:val="5"/>
        <w:spacing w:line="360" w:lineRule="exact"/>
        <w:ind w:firstLine="482" w:firstLineChars="200"/>
        <w:rPr>
          <w:rFonts w:ascii="宋体" w:hAnsi="宋体" w:eastAsia="宋体" w:cs="宋体"/>
          <w:sz w:val="24"/>
          <w:szCs w:val="24"/>
        </w:rPr>
      </w:pPr>
      <w:bookmarkStart w:id="227" w:name="_Toc31007"/>
      <w:bookmarkStart w:id="228" w:name="_Toc454373583"/>
      <w:bookmarkStart w:id="229" w:name="_Toc18974"/>
      <w:bookmarkStart w:id="230" w:name="_Toc365468181"/>
      <w:r>
        <w:rPr>
          <w:rFonts w:hint="eastAsia" w:ascii="宋体" w:hAnsi="宋体" w:eastAsia="宋体" w:cs="宋体"/>
          <w:sz w:val="24"/>
          <w:szCs w:val="24"/>
        </w:rPr>
        <w:t>1. 总则</w:t>
      </w:r>
      <w:bookmarkEnd w:id="227"/>
      <w:bookmarkEnd w:id="228"/>
      <w:bookmarkEnd w:id="229"/>
      <w:bookmarkEnd w:id="230"/>
    </w:p>
    <w:p>
      <w:pPr>
        <w:spacing w:line="400" w:lineRule="exact"/>
        <w:ind w:firstLine="480" w:firstLineChars="200"/>
        <w:rPr>
          <w:rFonts w:ascii="宋体" w:hAnsi="宋体" w:cs="宋体"/>
          <w:sz w:val="24"/>
        </w:rPr>
      </w:pPr>
      <w:r>
        <w:rPr>
          <w:rFonts w:hint="eastAsia" w:ascii="宋体" w:hAnsi="宋体" w:cs="宋体"/>
          <w:sz w:val="24"/>
        </w:rPr>
        <w:t>1.1参照《中华人民共和国招标投标法》等法律规章，结合采购项目特点制定本评标办法。</w:t>
      </w:r>
    </w:p>
    <w:p>
      <w:pPr>
        <w:spacing w:line="400" w:lineRule="exact"/>
        <w:ind w:firstLine="480" w:firstLineChars="200"/>
        <w:rPr>
          <w:rFonts w:ascii="宋体" w:hAnsi="宋体" w:cs="宋体"/>
          <w:bCs/>
          <w:sz w:val="24"/>
        </w:rPr>
      </w:pPr>
      <w:r>
        <w:rPr>
          <w:rFonts w:hint="eastAsia" w:ascii="宋体" w:hAnsi="宋体" w:cs="宋体"/>
          <w:sz w:val="24"/>
        </w:rPr>
        <w:t xml:space="preserve">1.2 </w:t>
      </w:r>
      <w:r>
        <w:rPr>
          <w:rFonts w:hint="eastAsia" w:ascii="宋体" w:hAnsi="宋体" w:cs="宋体"/>
          <w:bCs/>
          <w:sz w:val="24"/>
        </w:rPr>
        <w:t>评标工作由采购人负责组织，具体评标事务由采购人依法组建的</w:t>
      </w:r>
      <w:r>
        <w:rPr>
          <w:rFonts w:hint="eastAsia" w:ascii="宋体" w:hAnsi="宋体" w:cs="宋体"/>
          <w:bCs/>
          <w:sz w:val="24"/>
          <w:lang w:eastAsia="zh-CN"/>
        </w:rPr>
        <w:t>询价小组</w:t>
      </w:r>
      <w:r>
        <w:rPr>
          <w:rFonts w:hint="eastAsia" w:ascii="宋体" w:hAnsi="宋体" w:cs="宋体"/>
          <w:bCs/>
          <w:sz w:val="24"/>
        </w:rPr>
        <w:t>负责。</w:t>
      </w:r>
      <w:r>
        <w:rPr>
          <w:rFonts w:hint="eastAsia" w:ascii="宋体" w:hAnsi="宋体" w:cs="宋体"/>
          <w:bCs/>
          <w:sz w:val="24"/>
          <w:lang w:eastAsia="zh-CN"/>
        </w:rPr>
        <w:t>询价小组</w:t>
      </w:r>
      <w:r>
        <w:rPr>
          <w:rFonts w:hint="eastAsia" w:ascii="宋体" w:hAnsi="宋体" w:cs="宋体"/>
          <w:bCs/>
          <w:sz w:val="24"/>
        </w:rPr>
        <w:t>由采购人代表和有关技术、经济等方面的专家组成。</w:t>
      </w:r>
    </w:p>
    <w:p>
      <w:pPr>
        <w:spacing w:line="400" w:lineRule="exact"/>
        <w:ind w:firstLine="480" w:firstLineChars="200"/>
        <w:rPr>
          <w:rFonts w:ascii="宋体" w:hAnsi="宋体" w:cs="宋体"/>
          <w:sz w:val="24"/>
        </w:rPr>
      </w:pPr>
      <w:r>
        <w:rPr>
          <w:rFonts w:hint="eastAsia" w:ascii="宋体" w:hAnsi="宋体" w:cs="宋体"/>
          <w:sz w:val="24"/>
        </w:rPr>
        <w:t>1.3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 xml:space="preserve">1.4 </w:t>
      </w:r>
      <w:r>
        <w:rPr>
          <w:rFonts w:hint="eastAsia" w:ascii="宋体" w:hAnsi="宋体" w:cs="宋体"/>
          <w:sz w:val="24"/>
          <w:lang w:eastAsia="zh-CN"/>
        </w:rPr>
        <w:t>询价小组</w:t>
      </w:r>
      <w:r>
        <w:rPr>
          <w:rFonts w:hint="eastAsia" w:ascii="宋体" w:hAnsi="宋体" w:cs="宋体"/>
          <w:sz w:val="24"/>
        </w:rPr>
        <w:t>按照招标文件规定的评标方法和标准进行评标，并独立履行下列职责：</w:t>
      </w:r>
    </w:p>
    <w:p>
      <w:pPr>
        <w:spacing w:line="400" w:lineRule="exact"/>
        <w:ind w:firstLine="480"/>
        <w:rPr>
          <w:rFonts w:ascii="宋体" w:hAnsi="宋体" w:cs="宋体"/>
          <w:sz w:val="24"/>
        </w:rPr>
      </w:pPr>
      <w:r>
        <w:rPr>
          <w:rFonts w:hint="eastAsia" w:ascii="宋体" w:hAnsi="宋体" w:cs="宋体"/>
          <w:sz w:val="24"/>
        </w:rPr>
        <w:t>（1）审查投标文件是否符合招标文件要求，并作出评价；</w:t>
      </w:r>
    </w:p>
    <w:p>
      <w:pPr>
        <w:spacing w:line="400" w:lineRule="exact"/>
        <w:ind w:firstLine="480"/>
        <w:rPr>
          <w:rFonts w:ascii="宋体" w:hAnsi="宋体" w:cs="宋体"/>
          <w:sz w:val="24"/>
        </w:rPr>
      </w:pPr>
      <w:r>
        <w:rPr>
          <w:rFonts w:hint="eastAsia" w:ascii="宋体" w:hAnsi="宋体" w:cs="宋体"/>
          <w:sz w:val="24"/>
        </w:rPr>
        <w:t>（2）要求投标供应商对投标文件有关事项作出解释或者澄清；</w:t>
      </w:r>
    </w:p>
    <w:p>
      <w:pPr>
        <w:spacing w:line="400" w:lineRule="exact"/>
        <w:ind w:firstLine="480"/>
        <w:rPr>
          <w:rFonts w:ascii="宋体" w:hAnsi="宋体" w:cs="宋体"/>
          <w:sz w:val="24"/>
        </w:rPr>
      </w:pPr>
      <w:r>
        <w:rPr>
          <w:rFonts w:hint="eastAsia" w:ascii="宋体" w:hAnsi="宋体" w:cs="宋体"/>
          <w:sz w:val="24"/>
        </w:rPr>
        <w:t>（3）推荐中标候选供应商名单，或者受采购人委托按照事先确定的办法直接确定中标供应商；</w:t>
      </w:r>
    </w:p>
    <w:p>
      <w:pPr>
        <w:spacing w:line="400" w:lineRule="exact"/>
        <w:ind w:firstLine="480"/>
        <w:rPr>
          <w:rFonts w:ascii="宋体" w:hAnsi="宋体" w:cs="宋体"/>
          <w:sz w:val="24"/>
        </w:rPr>
      </w:pPr>
      <w:r>
        <w:rPr>
          <w:rFonts w:hint="eastAsia" w:ascii="宋体" w:hAnsi="宋体" w:cs="宋体"/>
          <w:sz w:val="24"/>
        </w:rPr>
        <w:t>（4）向招标采购单位或者有关部门报告非法干预评标工作的行为。</w:t>
      </w:r>
      <w:bookmarkStart w:id="231" w:name="_Toc217446098"/>
    </w:p>
    <w:p>
      <w:pPr>
        <w:spacing w:line="400" w:lineRule="exact"/>
        <w:ind w:firstLine="480" w:firstLineChars="200"/>
        <w:rPr>
          <w:rFonts w:ascii="宋体" w:hAnsi="宋体" w:cs="宋体"/>
          <w:sz w:val="24"/>
        </w:rPr>
      </w:pPr>
      <w:r>
        <w:rPr>
          <w:rFonts w:hint="eastAsia" w:ascii="宋体" w:hAnsi="宋体" w:cs="宋体"/>
          <w:sz w:val="24"/>
        </w:rPr>
        <w:t>1.5 评标过程严格保密。投标人对评委会的评标过程或合同授予决定施加影响的任何行为都可能导致其投标被拒绝。</w:t>
      </w:r>
    </w:p>
    <w:p>
      <w:pPr>
        <w:spacing w:line="400" w:lineRule="exact"/>
        <w:ind w:firstLine="480" w:firstLineChars="200"/>
        <w:rPr>
          <w:rFonts w:ascii="宋体" w:hAnsi="宋体" w:cs="宋体"/>
          <w:sz w:val="24"/>
        </w:rPr>
      </w:pPr>
      <w:r>
        <w:rPr>
          <w:rFonts w:hint="eastAsia" w:ascii="宋体" w:hAnsi="宋体" w:cs="宋体"/>
          <w:sz w:val="24"/>
        </w:rPr>
        <w:t>1.6评委会决定投标文件的响应性依据投标文件本身的内容，而不寻求外部的证据。</w:t>
      </w:r>
    </w:p>
    <w:p>
      <w:pPr>
        <w:spacing w:line="400" w:lineRule="exact"/>
        <w:ind w:firstLine="480" w:firstLineChars="200"/>
        <w:rPr>
          <w:rFonts w:ascii="宋体" w:hAnsi="宋体" w:cs="宋体"/>
          <w:sz w:val="24"/>
        </w:rPr>
      </w:pPr>
      <w:r>
        <w:rPr>
          <w:rFonts w:hint="eastAsia" w:ascii="宋体" w:hAnsi="宋体" w:cs="宋体"/>
          <w:sz w:val="24"/>
        </w:rPr>
        <w:t>1.7评委会发现招标文件表述不明确或需要说明的事项，可提请招标采购单位书面解释说明。发现招标文件违反有关法律、法规和规章的，可以拒绝评标，并向招标采购单位书面说明情况。</w:t>
      </w:r>
    </w:p>
    <w:p>
      <w:pPr>
        <w:pStyle w:val="5"/>
        <w:spacing w:line="400" w:lineRule="exact"/>
        <w:ind w:firstLine="482" w:firstLineChars="200"/>
        <w:rPr>
          <w:rFonts w:ascii="宋体" w:hAnsi="宋体" w:eastAsia="宋体" w:cs="宋体"/>
          <w:sz w:val="24"/>
          <w:szCs w:val="24"/>
        </w:rPr>
      </w:pPr>
      <w:bookmarkStart w:id="232" w:name="_Toc24320"/>
      <w:bookmarkStart w:id="233" w:name="_Toc22424"/>
      <w:r>
        <w:rPr>
          <w:rFonts w:hint="eastAsia" w:ascii="宋体" w:hAnsi="宋体" w:eastAsia="宋体" w:cs="宋体"/>
          <w:sz w:val="24"/>
          <w:szCs w:val="24"/>
        </w:rPr>
        <w:t>2、评标方法</w:t>
      </w:r>
      <w:bookmarkEnd w:id="232"/>
      <w:bookmarkEnd w:id="233"/>
    </w:p>
    <w:p>
      <w:pPr>
        <w:spacing w:line="400" w:lineRule="exact"/>
        <w:ind w:firstLine="480" w:firstLineChars="200"/>
        <w:rPr>
          <w:rFonts w:ascii="宋体" w:hAnsi="宋体" w:cs="宋体"/>
          <w:sz w:val="24"/>
        </w:rPr>
      </w:pPr>
      <w:r>
        <w:rPr>
          <w:rFonts w:hint="eastAsia" w:ascii="宋体" w:hAnsi="宋体" w:cs="宋体"/>
          <w:sz w:val="24"/>
        </w:rPr>
        <w:t>本项目评标方法为：</w:t>
      </w:r>
      <w:r>
        <w:rPr>
          <w:rFonts w:hint="eastAsia" w:ascii="宋体" w:hAnsi="宋体" w:cs="宋体"/>
          <w:sz w:val="24"/>
          <w:lang w:val="en-US" w:eastAsia="zh-CN"/>
        </w:rPr>
        <w:t>最低价中标</w:t>
      </w:r>
      <w:r>
        <w:rPr>
          <w:rFonts w:hint="eastAsia" w:ascii="宋体" w:hAnsi="宋体" w:cs="宋体"/>
          <w:sz w:val="24"/>
        </w:rPr>
        <w:t>。</w:t>
      </w:r>
    </w:p>
    <w:p>
      <w:pPr>
        <w:pStyle w:val="5"/>
        <w:spacing w:line="400" w:lineRule="exact"/>
        <w:ind w:firstLine="482" w:firstLineChars="200"/>
        <w:rPr>
          <w:rFonts w:ascii="宋体" w:hAnsi="宋体" w:eastAsia="宋体" w:cs="宋体"/>
          <w:sz w:val="24"/>
          <w:szCs w:val="24"/>
        </w:rPr>
      </w:pPr>
      <w:bookmarkStart w:id="234" w:name="_Toc13285"/>
      <w:bookmarkStart w:id="235" w:name="_Toc18043"/>
      <w:r>
        <w:rPr>
          <w:rFonts w:hint="eastAsia" w:ascii="宋体" w:hAnsi="宋体" w:eastAsia="宋体" w:cs="宋体"/>
          <w:sz w:val="24"/>
          <w:szCs w:val="24"/>
        </w:rPr>
        <w:t>3、 评标程序</w:t>
      </w:r>
      <w:bookmarkEnd w:id="231"/>
      <w:bookmarkEnd w:id="234"/>
      <w:bookmarkEnd w:id="235"/>
    </w:p>
    <w:p>
      <w:pPr>
        <w:spacing w:line="400" w:lineRule="exact"/>
        <w:ind w:firstLine="480" w:firstLineChars="200"/>
        <w:rPr>
          <w:rFonts w:ascii="宋体" w:hAnsi="宋体" w:cs="宋体"/>
          <w:sz w:val="24"/>
        </w:rPr>
      </w:pPr>
      <w:r>
        <w:rPr>
          <w:rFonts w:hint="eastAsia" w:ascii="宋体" w:hAnsi="宋体" w:cs="宋体"/>
          <w:sz w:val="24"/>
        </w:rPr>
        <w:t>3.1投标文件初审。初审分为资格性检查和符合性检查。</w:t>
      </w:r>
    </w:p>
    <w:p>
      <w:pPr>
        <w:spacing w:line="400" w:lineRule="exact"/>
        <w:ind w:firstLine="480" w:firstLineChars="200"/>
        <w:rPr>
          <w:rFonts w:ascii="宋体" w:hAnsi="宋体" w:cs="宋体"/>
          <w:sz w:val="24"/>
        </w:rPr>
      </w:pPr>
      <w:r>
        <w:rPr>
          <w:rFonts w:hint="eastAsia" w:ascii="宋体" w:hAnsi="宋体" w:cs="宋体"/>
          <w:sz w:val="24"/>
        </w:rPr>
        <w:t>3.1.1</w:t>
      </w:r>
      <w:r>
        <w:rPr>
          <w:rFonts w:hint="eastAsia" w:ascii="宋体" w:hAnsi="宋体" w:cs="宋体"/>
          <w:b/>
          <w:sz w:val="24"/>
        </w:rPr>
        <w:t>资格性检查。</w:t>
      </w:r>
      <w:r>
        <w:rPr>
          <w:rFonts w:hint="eastAsia" w:ascii="宋体" w:hAnsi="宋体" w:cs="宋体"/>
          <w:sz w:val="24"/>
        </w:rPr>
        <w:t>依据法律法规和招标文件的规定，对投标文件中的资格证明、投标保证金等进行审查，以确定投标供应商是否具备投标资格。投标人投标文件属于下列情况之一的，在资格性检查时按照无效投标处理：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（1）未按照招标文件规定交纳投标保证金的；</w:t>
      </w:r>
    </w:p>
    <w:p>
      <w:pPr>
        <w:spacing w:line="400" w:lineRule="exact"/>
        <w:ind w:firstLine="480" w:firstLineChars="200"/>
        <w:rPr>
          <w:rFonts w:ascii="宋体" w:hAnsi="宋体" w:cs="宋体"/>
          <w:sz w:val="24"/>
        </w:rPr>
      </w:pPr>
      <w:r>
        <w:rPr>
          <w:rFonts w:hint="eastAsia" w:ascii="宋体" w:hAnsi="宋体" w:cs="宋体"/>
          <w:sz w:val="24"/>
        </w:rPr>
        <w:t>（2）不具备招标文件第四章中规定的要求的；</w:t>
      </w:r>
    </w:p>
    <w:p>
      <w:pPr>
        <w:spacing w:line="400" w:lineRule="exact"/>
        <w:ind w:firstLine="480" w:firstLineChars="200"/>
        <w:rPr>
          <w:rFonts w:ascii="宋体" w:hAnsi="宋体" w:cs="宋体"/>
          <w:sz w:val="24"/>
        </w:rPr>
      </w:pPr>
      <w:r>
        <w:rPr>
          <w:rFonts w:hint="eastAsia" w:ascii="宋体" w:hAnsi="宋体" w:cs="宋体"/>
          <w:sz w:val="24"/>
        </w:rPr>
        <w:t>3.1.2</w:t>
      </w:r>
      <w:r>
        <w:rPr>
          <w:rFonts w:hint="eastAsia" w:ascii="宋体" w:hAnsi="宋体" w:cs="宋体"/>
          <w:b/>
          <w:sz w:val="24"/>
        </w:rPr>
        <w:t>符合性检查。</w:t>
      </w:r>
      <w:r>
        <w:rPr>
          <w:rFonts w:hint="eastAsia" w:ascii="宋体" w:hAnsi="宋体" w:cs="宋体"/>
          <w:sz w:val="24"/>
        </w:rPr>
        <w:t>依据招标文件的规定，从投标文件的有效性、完整性和对招标文件的响应程度进行审查，以确定是否对招标文件的实质性要求作出响应。投标人投标文件属于下列情况之一的，在符合性检查时按照无效投标处理：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（1）投标报价不符合招标文件规定的价格标的；</w:t>
      </w:r>
    </w:p>
    <w:p>
      <w:pPr>
        <w:spacing w:line="400" w:lineRule="exact"/>
        <w:ind w:firstLine="480" w:firstLineChars="200"/>
        <w:rPr>
          <w:rFonts w:ascii="宋体" w:hAnsi="宋体" w:cs="宋体"/>
          <w:sz w:val="24"/>
        </w:rPr>
      </w:pPr>
      <w:r>
        <w:rPr>
          <w:rFonts w:hint="eastAsia" w:ascii="宋体" w:hAnsi="宋体" w:cs="宋体"/>
          <w:sz w:val="24"/>
        </w:rPr>
        <w:t>（2）投标产品的技术规格、技术标准明显不符合招标项目的要求；</w:t>
      </w:r>
    </w:p>
    <w:p>
      <w:pPr>
        <w:spacing w:line="400" w:lineRule="exact"/>
        <w:ind w:firstLine="480" w:firstLineChars="200"/>
        <w:rPr>
          <w:rFonts w:ascii="宋体" w:hAnsi="宋体" w:cs="宋体"/>
          <w:sz w:val="24"/>
        </w:rPr>
      </w:pPr>
      <w:r>
        <w:rPr>
          <w:rFonts w:hint="eastAsia" w:ascii="宋体" w:hAnsi="宋体" w:cs="宋体"/>
          <w:sz w:val="24"/>
        </w:rPr>
        <w:t>（3）投标产品没有完全符合招标文件第四章的技术、商务要求；</w:t>
      </w:r>
    </w:p>
    <w:p>
      <w:pPr>
        <w:spacing w:line="400" w:lineRule="exact"/>
        <w:ind w:firstLine="480" w:firstLineChars="200"/>
        <w:rPr>
          <w:rFonts w:ascii="宋体" w:hAnsi="宋体" w:cs="宋体"/>
          <w:sz w:val="24"/>
        </w:rPr>
      </w:pPr>
      <w:r>
        <w:rPr>
          <w:rFonts w:hint="eastAsia" w:ascii="宋体" w:hAnsi="宋体" w:cs="宋体"/>
          <w:sz w:val="24"/>
        </w:rPr>
        <w:t>（4）附有采购人不能接受的条件；</w:t>
      </w:r>
    </w:p>
    <w:p>
      <w:pPr>
        <w:spacing w:line="400" w:lineRule="exact"/>
        <w:ind w:firstLine="480" w:firstLineChars="200"/>
        <w:rPr>
          <w:rFonts w:ascii="宋体" w:hAnsi="宋体" w:cs="宋体"/>
          <w:sz w:val="24"/>
        </w:rPr>
      </w:pPr>
      <w:r>
        <w:rPr>
          <w:rFonts w:hint="eastAsia" w:ascii="宋体" w:hAnsi="宋体" w:cs="宋体"/>
          <w:sz w:val="24"/>
        </w:rPr>
        <w:t xml:space="preserve">（5）未按招标文件要求提供资质证明材料。 </w:t>
      </w:r>
    </w:p>
    <w:p>
      <w:pPr>
        <w:pStyle w:val="8"/>
        <w:tabs>
          <w:tab w:val="left" w:pos="600"/>
        </w:tabs>
        <w:spacing w:line="400" w:lineRule="exact"/>
        <w:ind w:firstLine="480" w:firstLineChars="200"/>
        <w:rPr>
          <w:rFonts w:ascii="宋体" w:hAnsi="宋体" w:cs="宋体"/>
          <w:sz w:val="24"/>
        </w:rPr>
      </w:pPr>
      <w:r>
        <w:rPr>
          <w:rFonts w:hint="eastAsia" w:ascii="宋体" w:hAnsi="宋体" w:cs="宋体"/>
          <w:sz w:val="24"/>
        </w:rPr>
        <w:t>3.1.3在投标文件初审过程中，如果出现</w:t>
      </w:r>
      <w:r>
        <w:rPr>
          <w:rFonts w:hint="eastAsia" w:ascii="宋体" w:hAnsi="宋体" w:cs="宋体"/>
          <w:sz w:val="24"/>
          <w:lang w:eastAsia="zh-CN"/>
        </w:rPr>
        <w:t>询价小组</w:t>
      </w:r>
      <w:r>
        <w:rPr>
          <w:rFonts w:hint="eastAsia" w:ascii="宋体" w:hAnsi="宋体" w:cs="宋体"/>
          <w:sz w:val="24"/>
        </w:rPr>
        <w:t>成员意见不一致的情况，按照少数服从多数的原则确定，但不得违背采购基本原则和招标文件规定。</w:t>
      </w:r>
    </w:p>
    <w:p>
      <w:pPr>
        <w:spacing w:line="400" w:lineRule="exact"/>
        <w:ind w:firstLine="480"/>
        <w:rPr>
          <w:rFonts w:ascii="宋体" w:hAnsi="宋体" w:cs="宋体"/>
          <w:sz w:val="24"/>
        </w:rPr>
      </w:pPr>
      <w:r>
        <w:rPr>
          <w:rFonts w:hint="eastAsia" w:ascii="宋体" w:hAnsi="宋体" w:cs="宋体"/>
          <w:sz w:val="24"/>
        </w:rPr>
        <w:t>3.2澄清有关问题。对投标文件中含义不明确、同类问题表述不一致或者有明显文字和计算错误的内容，</w:t>
      </w:r>
      <w:r>
        <w:rPr>
          <w:rFonts w:hint="eastAsia" w:ascii="宋体" w:hAnsi="宋体" w:cs="宋体"/>
          <w:sz w:val="24"/>
          <w:lang w:eastAsia="zh-CN"/>
        </w:rPr>
        <w:t>询价小组</w:t>
      </w:r>
      <w:r>
        <w:rPr>
          <w:rFonts w:hint="eastAsia" w:ascii="宋体" w:hAnsi="宋体" w:cs="宋体"/>
          <w:sz w:val="24"/>
        </w:rPr>
        <w:t>可以书面形式（应当由</w:t>
      </w:r>
      <w:r>
        <w:rPr>
          <w:rFonts w:hint="eastAsia" w:ascii="宋体" w:hAnsi="宋体" w:cs="宋体"/>
          <w:sz w:val="24"/>
          <w:lang w:eastAsia="zh-CN"/>
        </w:rPr>
        <w:t>询价小组</w:t>
      </w:r>
      <w:r>
        <w:rPr>
          <w:rFonts w:hint="eastAsia" w:ascii="宋体" w:hAnsi="宋体" w:cs="宋体"/>
          <w:sz w:val="24"/>
        </w:rPr>
        <w:t>专家签字）要求投标人作出必要的澄清、说明或者纠正。投标人的澄清、说明或者补正应当采用书面形式，由其授权的代表签字，并不得超出投标文件的范围或者改变投标文件的实质性内容。</w:t>
      </w:r>
      <w:bookmarkStart w:id="236" w:name="_Toc183582287"/>
      <w:bookmarkStart w:id="237" w:name="_Toc217446104"/>
      <w:bookmarkStart w:id="238" w:name="_Toc183682422"/>
    </w:p>
    <w:bookmarkEnd w:id="236"/>
    <w:bookmarkEnd w:id="237"/>
    <w:bookmarkEnd w:id="238"/>
    <w:p>
      <w:pPr>
        <w:spacing w:line="400" w:lineRule="exact"/>
        <w:ind w:firstLine="480"/>
        <w:rPr>
          <w:rFonts w:ascii="宋体" w:hAnsi="宋体" w:cs="宋体"/>
          <w:sz w:val="24"/>
        </w:rPr>
      </w:pPr>
      <w:r>
        <w:rPr>
          <w:rFonts w:hint="eastAsia" w:ascii="宋体" w:hAnsi="宋体" w:cs="宋体"/>
          <w:sz w:val="24"/>
        </w:rPr>
        <w:t>3.3比较与评价。</w:t>
      </w:r>
    </w:p>
    <w:p>
      <w:pPr>
        <w:spacing w:line="400" w:lineRule="exact"/>
        <w:ind w:firstLine="480"/>
        <w:rPr>
          <w:rFonts w:ascii="宋体" w:hAnsi="宋体" w:cs="宋体"/>
          <w:sz w:val="24"/>
        </w:rPr>
      </w:pPr>
      <w:r>
        <w:rPr>
          <w:rFonts w:hint="eastAsia" w:ascii="宋体" w:hAnsi="宋体" w:cs="宋体"/>
          <w:sz w:val="24"/>
        </w:rPr>
        <w:t>3.3.1按招标文件中规定的评标方法和标准，对资格性检查和符合性检查合格的投标文件进行商务和技术评估，综合比较与评价。</w:t>
      </w:r>
    </w:p>
    <w:p>
      <w:pPr>
        <w:spacing w:line="400" w:lineRule="exact"/>
        <w:ind w:firstLine="480"/>
        <w:rPr>
          <w:rFonts w:ascii="宋体" w:hAnsi="宋体" w:cs="宋体"/>
          <w:sz w:val="24"/>
        </w:rPr>
      </w:pPr>
      <w:r>
        <w:rPr>
          <w:rFonts w:hint="eastAsia" w:ascii="宋体" w:hAnsi="宋体" w:cs="宋体"/>
          <w:sz w:val="24"/>
        </w:rPr>
        <w:t>3.3.2按招标文件中规定的评标方法和标准，对资格性检查和符合性检查合格的投标样品进行技术评估，综合比较与评价。</w:t>
      </w:r>
    </w:p>
    <w:p>
      <w:pPr>
        <w:spacing w:line="400" w:lineRule="exact"/>
        <w:ind w:firstLine="480"/>
        <w:rPr>
          <w:rFonts w:ascii="宋体" w:hAnsi="宋体" w:cs="宋体"/>
          <w:sz w:val="24"/>
        </w:rPr>
      </w:pPr>
      <w:r>
        <w:rPr>
          <w:rFonts w:hint="eastAsia" w:ascii="宋体" w:hAnsi="宋体" w:cs="宋体"/>
          <w:sz w:val="24"/>
        </w:rPr>
        <w:t xml:space="preserve"> 3.4推荐中标候选供应商名单。中标候选供应商数量应当根据采购需要确定，但必须按</w:t>
      </w:r>
      <w:r>
        <w:rPr>
          <w:rFonts w:hint="eastAsia" w:ascii="宋体" w:hAnsi="宋体" w:cs="宋体"/>
          <w:sz w:val="24"/>
          <w:lang w:val="en-US" w:eastAsia="zh-CN"/>
        </w:rPr>
        <w:t>报价</w:t>
      </w:r>
      <w:r>
        <w:rPr>
          <w:rFonts w:hint="eastAsia" w:ascii="宋体" w:hAnsi="宋体" w:cs="宋体"/>
          <w:sz w:val="24"/>
        </w:rPr>
        <w:t>顺序排列中标候选供应商。</w:t>
      </w:r>
    </w:p>
    <w:p>
      <w:pPr>
        <w:spacing w:line="400" w:lineRule="exact"/>
        <w:ind w:firstLine="480"/>
        <w:rPr>
          <w:rFonts w:ascii="宋体" w:hAnsi="宋体" w:cs="宋体"/>
          <w:sz w:val="24"/>
        </w:rPr>
      </w:pPr>
      <w:r>
        <w:rPr>
          <w:rFonts w:hint="eastAsia" w:ascii="宋体" w:hAnsi="宋体" w:cs="宋体"/>
          <w:sz w:val="24"/>
        </w:rPr>
        <w:t>3.5编写评标报告。评标报告是</w:t>
      </w:r>
      <w:r>
        <w:rPr>
          <w:rFonts w:hint="eastAsia" w:ascii="宋体" w:hAnsi="宋体" w:cs="宋体"/>
          <w:sz w:val="24"/>
          <w:lang w:eastAsia="zh-CN"/>
        </w:rPr>
        <w:t>询价小组</w:t>
      </w:r>
      <w:r>
        <w:rPr>
          <w:rFonts w:hint="eastAsia" w:ascii="宋体" w:hAnsi="宋体" w:cs="宋体"/>
          <w:sz w:val="24"/>
        </w:rPr>
        <w:t>根据全体评标成员签字的原始评标记录和评标结果编写的报告，其主要内容包括：</w:t>
      </w:r>
    </w:p>
    <w:p>
      <w:pPr>
        <w:spacing w:line="400" w:lineRule="exact"/>
        <w:ind w:firstLine="480"/>
        <w:rPr>
          <w:rFonts w:ascii="宋体" w:hAnsi="宋体" w:cs="宋体"/>
          <w:sz w:val="24"/>
        </w:rPr>
      </w:pPr>
      <w:r>
        <w:rPr>
          <w:rFonts w:hint="eastAsia" w:ascii="宋体" w:hAnsi="宋体" w:cs="宋体"/>
          <w:sz w:val="24"/>
        </w:rPr>
        <w:t>（1）招标公告刊登的媒体名称、开标日期和地点；</w:t>
      </w:r>
    </w:p>
    <w:p>
      <w:pPr>
        <w:spacing w:line="400" w:lineRule="exact"/>
        <w:ind w:firstLine="480"/>
        <w:rPr>
          <w:rFonts w:ascii="宋体" w:hAnsi="宋体" w:cs="宋体"/>
          <w:sz w:val="24"/>
        </w:rPr>
      </w:pPr>
      <w:r>
        <w:rPr>
          <w:rFonts w:hint="eastAsia" w:ascii="宋体" w:hAnsi="宋体" w:cs="宋体"/>
          <w:sz w:val="24"/>
        </w:rPr>
        <w:t>（2）购买招标文件的投标人名单和</w:t>
      </w:r>
      <w:r>
        <w:rPr>
          <w:rFonts w:hint="eastAsia" w:ascii="宋体" w:hAnsi="宋体" w:cs="宋体"/>
          <w:sz w:val="24"/>
          <w:lang w:eastAsia="zh-CN"/>
        </w:rPr>
        <w:t>询价小组</w:t>
      </w:r>
      <w:r>
        <w:rPr>
          <w:rFonts w:hint="eastAsia" w:ascii="宋体" w:hAnsi="宋体" w:cs="宋体"/>
          <w:sz w:val="24"/>
        </w:rPr>
        <w:t>成员名单；</w:t>
      </w:r>
    </w:p>
    <w:p>
      <w:pPr>
        <w:spacing w:line="400" w:lineRule="exact"/>
        <w:ind w:firstLine="480"/>
        <w:rPr>
          <w:rFonts w:ascii="宋体" w:hAnsi="宋体" w:cs="宋体"/>
          <w:sz w:val="24"/>
        </w:rPr>
      </w:pPr>
      <w:r>
        <w:rPr>
          <w:rFonts w:hint="eastAsia" w:ascii="宋体" w:hAnsi="宋体" w:cs="宋体"/>
          <w:sz w:val="24"/>
        </w:rPr>
        <w:t>（3）评标方法和标准；</w:t>
      </w:r>
    </w:p>
    <w:p>
      <w:pPr>
        <w:spacing w:line="400" w:lineRule="exact"/>
        <w:ind w:firstLine="480"/>
        <w:rPr>
          <w:rFonts w:ascii="宋体" w:hAnsi="宋体" w:cs="宋体"/>
          <w:sz w:val="24"/>
        </w:rPr>
      </w:pPr>
      <w:r>
        <w:rPr>
          <w:rFonts w:hint="eastAsia" w:ascii="宋体" w:hAnsi="宋体" w:cs="宋体"/>
          <w:sz w:val="24"/>
        </w:rPr>
        <w:t>（4）开标记录和评标情况及说明，包括无效投标人名单及原因；</w:t>
      </w:r>
    </w:p>
    <w:p>
      <w:pPr>
        <w:spacing w:line="400" w:lineRule="exact"/>
        <w:ind w:firstLine="480"/>
        <w:rPr>
          <w:rFonts w:ascii="宋体" w:hAnsi="宋体" w:cs="宋体"/>
          <w:sz w:val="24"/>
        </w:rPr>
      </w:pPr>
      <w:r>
        <w:rPr>
          <w:rFonts w:hint="eastAsia" w:ascii="宋体" w:hAnsi="宋体" w:cs="宋体"/>
          <w:sz w:val="24"/>
        </w:rPr>
        <w:t>（5）评标结果和中标候选供应商排序表；</w:t>
      </w:r>
    </w:p>
    <w:p>
      <w:pPr>
        <w:spacing w:line="400" w:lineRule="exact"/>
        <w:ind w:firstLine="480"/>
        <w:rPr>
          <w:rFonts w:ascii="宋体" w:hAnsi="宋体" w:cs="宋体"/>
          <w:sz w:val="24"/>
        </w:rPr>
      </w:pPr>
      <w:r>
        <w:rPr>
          <w:rFonts w:hint="eastAsia" w:ascii="宋体" w:hAnsi="宋体" w:cs="宋体"/>
          <w:sz w:val="24"/>
        </w:rPr>
        <w:t>（6）</w:t>
      </w:r>
      <w:r>
        <w:rPr>
          <w:rFonts w:hint="eastAsia" w:ascii="宋体" w:hAnsi="宋体" w:cs="宋体"/>
          <w:sz w:val="24"/>
          <w:lang w:eastAsia="zh-CN"/>
        </w:rPr>
        <w:t>询价小组</w:t>
      </w:r>
      <w:r>
        <w:rPr>
          <w:rFonts w:hint="eastAsia" w:ascii="宋体" w:hAnsi="宋体" w:cs="宋体"/>
          <w:sz w:val="24"/>
        </w:rPr>
        <w:t>的授标建议。</w:t>
      </w:r>
    </w:p>
    <w:p>
      <w:pPr>
        <w:pStyle w:val="5"/>
        <w:spacing w:line="400" w:lineRule="exact"/>
        <w:ind w:firstLine="482" w:firstLineChars="200"/>
        <w:rPr>
          <w:rFonts w:ascii="宋体" w:hAnsi="宋体" w:eastAsia="宋体" w:cs="宋体"/>
          <w:sz w:val="24"/>
          <w:szCs w:val="24"/>
        </w:rPr>
      </w:pPr>
      <w:bookmarkStart w:id="239" w:name="_Toc365468182"/>
      <w:bookmarkStart w:id="240" w:name="_Toc4101"/>
      <w:bookmarkStart w:id="241" w:name="_Toc454373584"/>
      <w:bookmarkStart w:id="242" w:name="_Toc217446103"/>
      <w:bookmarkStart w:id="243" w:name="_Toc5592"/>
      <w:r>
        <w:rPr>
          <w:rFonts w:hint="eastAsia" w:ascii="宋体" w:hAnsi="宋体" w:eastAsia="宋体" w:cs="宋体"/>
          <w:sz w:val="24"/>
          <w:szCs w:val="24"/>
        </w:rPr>
        <w:t>4. 评标细则及标准</w:t>
      </w:r>
      <w:bookmarkEnd w:id="239"/>
      <w:bookmarkEnd w:id="240"/>
      <w:bookmarkEnd w:id="241"/>
      <w:bookmarkEnd w:id="242"/>
      <w:bookmarkEnd w:id="243"/>
    </w:p>
    <w:p>
      <w:pPr>
        <w:spacing w:line="400" w:lineRule="exact"/>
        <w:ind w:firstLine="480"/>
        <w:rPr>
          <w:rFonts w:ascii="宋体" w:hAnsi="宋体" w:cs="宋体"/>
          <w:sz w:val="24"/>
        </w:rPr>
      </w:pPr>
      <w:r>
        <w:rPr>
          <w:rFonts w:hint="eastAsia" w:ascii="宋体" w:hAnsi="宋体" w:cs="宋体"/>
          <w:sz w:val="24"/>
        </w:rPr>
        <w:t>4.1 评委会只对通过初审的投标文件，根据招标文件的要求采用相同的评标程序及标准进行评价和比较。</w:t>
      </w:r>
    </w:p>
    <w:bookmarkEnd w:id="222"/>
    <w:p>
      <w:pPr>
        <w:pStyle w:val="5"/>
        <w:spacing w:line="400" w:lineRule="exact"/>
        <w:ind w:firstLine="482" w:firstLineChars="200"/>
        <w:rPr>
          <w:rFonts w:ascii="宋体" w:hAnsi="宋体" w:eastAsia="宋体" w:cs="宋体"/>
          <w:sz w:val="24"/>
          <w:szCs w:val="24"/>
        </w:rPr>
      </w:pPr>
      <w:bookmarkStart w:id="244" w:name="_Toc454373586"/>
      <w:bookmarkStart w:id="245" w:name="_Toc365468183"/>
      <w:bookmarkStart w:id="246" w:name="_Toc19877"/>
      <w:bookmarkStart w:id="247" w:name="_Toc23728"/>
      <w:r>
        <w:rPr>
          <w:rFonts w:hint="eastAsia" w:ascii="宋体" w:hAnsi="宋体" w:eastAsia="宋体" w:cs="宋体"/>
          <w:sz w:val="24"/>
          <w:szCs w:val="24"/>
        </w:rPr>
        <w:t>5、废 标</w:t>
      </w:r>
      <w:bookmarkEnd w:id="244"/>
      <w:bookmarkEnd w:id="245"/>
      <w:bookmarkEnd w:id="246"/>
      <w:bookmarkEnd w:id="247"/>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本次采购活动中，出现下列情形之一的，予以废标：</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（1）符合专业条件的供应商或者对招标文件作实质响应的供应商不足3家的；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（2）出现影响采购公正的违法、违规行为的；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（3）投标人的报价均超过了采购预算的；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（4）因重大变故，采购任务取消的。</w:t>
      </w:r>
    </w:p>
    <w:p>
      <w:pPr>
        <w:widowControl/>
        <w:autoSpaceDE w:val="0"/>
        <w:autoSpaceDN w:val="0"/>
        <w:spacing w:line="400" w:lineRule="exact"/>
        <w:ind w:right="53" w:firstLine="480" w:firstLineChars="200"/>
        <w:textAlignment w:val="bottom"/>
        <w:rPr>
          <w:rFonts w:ascii="宋体" w:hAnsi="宋体" w:cs="宋体"/>
          <w:color w:val="000000"/>
          <w:sz w:val="24"/>
        </w:rPr>
      </w:pPr>
      <w:r>
        <w:rPr>
          <w:rFonts w:hint="eastAsia" w:ascii="宋体" w:hAnsi="宋体" w:cs="宋体"/>
          <w:color w:val="000000"/>
          <w:sz w:val="24"/>
        </w:rPr>
        <w:t>废标后，采购</w:t>
      </w:r>
      <w:r>
        <w:rPr>
          <w:rFonts w:hint="eastAsia" w:ascii="宋体" w:hAnsi="宋体" w:cs="宋体"/>
          <w:color w:val="000000"/>
          <w:sz w:val="24"/>
          <w:lang w:val="en-US" w:eastAsia="zh-CN"/>
        </w:rPr>
        <w:t>人</w:t>
      </w:r>
      <w:r>
        <w:rPr>
          <w:rFonts w:hint="eastAsia" w:ascii="宋体" w:hAnsi="宋体" w:cs="宋体"/>
          <w:color w:val="000000"/>
          <w:sz w:val="24"/>
        </w:rPr>
        <w:t>应在</w:t>
      </w:r>
      <w:r>
        <w:rPr>
          <w:rFonts w:hint="eastAsia" w:ascii="宋体" w:hAnsi="宋体" w:cs="宋体"/>
          <w:color w:val="000000"/>
          <w:sz w:val="24"/>
          <w:lang w:val="en-US" w:eastAsia="zh-CN"/>
        </w:rPr>
        <w:t>南江县妇幼保健院官</w:t>
      </w:r>
      <w:r>
        <w:rPr>
          <w:rFonts w:hint="eastAsia" w:ascii="宋体" w:hAnsi="宋体" w:cs="宋体"/>
          <w:color w:val="000000"/>
          <w:sz w:val="24"/>
        </w:rPr>
        <w:t>网上公告，并公告废标的详细理由。</w:t>
      </w:r>
    </w:p>
    <w:p>
      <w:pPr>
        <w:pStyle w:val="5"/>
        <w:spacing w:line="400" w:lineRule="exact"/>
        <w:ind w:firstLine="472" w:firstLineChars="196"/>
        <w:rPr>
          <w:rFonts w:ascii="宋体" w:hAnsi="宋体" w:eastAsia="宋体" w:cs="宋体"/>
          <w:color w:val="000000"/>
          <w:sz w:val="24"/>
          <w:szCs w:val="24"/>
        </w:rPr>
      </w:pPr>
      <w:bookmarkStart w:id="248" w:name="_Toc2558"/>
      <w:bookmarkStart w:id="249" w:name="_Toc5037"/>
      <w:bookmarkStart w:id="250" w:name="_Toc365468184"/>
      <w:bookmarkStart w:id="251" w:name="_Toc454373587"/>
      <w:r>
        <w:rPr>
          <w:rFonts w:hint="eastAsia" w:ascii="宋体" w:hAnsi="宋体" w:eastAsia="宋体" w:cs="宋体"/>
          <w:color w:val="000000"/>
          <w:sz w:val="24"/>
          <w:szCs w:val="24"/>
        </w:rPr>
        <w:t>6、定标</w:t>
      </w:r>
      <w:bookmarkEnd w:id="248"/>
      <w:bookmarkEnd w:id="249"/>
      <w:bookmarkEnd w:id="250"/>
      <w:bookmarkEnd w:id="251"/>
      <w:bookmarkStart w:id="252" w:name="_Toc217446061"/>
    </w:p>
    <w:p>
      <w:pPr>
        <w:spacing w:line="400" w:lineRule="exact"/>
        <w:ind w:firstLine="480" w:firstLineChars="200"/>
        <w:rPr>
          <w:rFonts w:ascii="宋体" w:hAnsi="宋体" w:cs="宋体"/>
          <w:color w:val="000000"/>
          <w:sz w:val="24"/>
        </w:rPr>
      </w:pPr>
      <w:r>
        <w:rPr>
          <w:rFonts w:hint="eastAsia" w:ascii="宋体" w:hAnsi="宋体" w:cs="宋体"/>
          <w:color w:val="000000"/>
          <w:sz w:val="24"/>
        </w:rPr>
        <w:t>6.1. 定标原则</w:t>
      </w:r>
      <w:bookmarkEnd w:id="252"/>
      <w:r>
        <w:rPr>
          <w:rFonts w:hint="eastAsia" w:ascii="宋体" w:hAnsi="宋体" w:cs="宋体"/>
          <w:color w:val="000000"/>
          <w:sz w:val="24"/>
        </w:rPr>
        <w:t>：本项目根据评委会推荐的中标候选人名单，按顺序确定中标人。</w:t>
      </w:r>
    </w:p>
    <w:p>
      <w:pPr>
        <w:spacing w:line="400" w:lineRule="exact"/>
        <w:ind w:firstLine="480" w:firstLineChars="200"/>
        <w:rPr>
          <w:rFonts w:ascii="宋体" w:hAnsi="宋体" w:cs="宋体"/>
          <w:color w:val="000000"/>
          <w:sz w:val="24"/>
        </w:rPr>
      </w:pPr>
      <w:bookmarkStart w:id="253" w:name="_Toc217446062"/>
      <w:r>
        <w:rPr>
          <w:rFonts w:hint="eastAsia" w:ascii="宋体" w:hAnsi="宋体" w:cs="宋体"/>
          <w:color w:val="000000"/>
          <w:sz w:val="24"/>
        </w:rPr>
        <w:t>6.2. 定标程序</w:t>
      </w:r>
      <w:bookmarkEnd w:id="253"/>
    </w:p>
    <w:p>
      <w:pPr>
        <w:spacing w:line="400" w:lineRule="exact"/>
        <w:ind w:firstLine="480" w:firstLineChars="200"/>
        <w:rPr>
          <w:rFonts w:ascii="宋体" w:hAnsi="宋体" w:cs="宋体"/>
          <w:sz w:val="24"/>
        </w:rPr>
      </w:pPr>
      <w:r>
        <w:rPr>
          <w:rFonts w:hint="eastAsia" w:ascii="宋体" w:hAnsi="宋体" w:cs="宋体"/>
          <w:sz w:val="24"/>
        </w:rPr>
        <w:t>6.2.1 评委会将评标情况写出书面报告，推荐中标候选人，中标候选人不得超过3个，并按照</w:t>
      </w:r>
      <w:r>
        <w:rPr>
          <w:rFonts w:hint="eastAsia" w:ascii="宋体" w:hAnsi="宋体" w:cs="宋体"/>
          <w:sz w:val="24"/>
          <w:lang w:val="en-US" w:eastAsia="zh-CN"/>
        </w:rPr>
        <w:t>报价</w:t>
      </w:r>
      <w:r>
        <w:rPr>
          <w:rFonts w:hint="eastAsia" w:ascii="宋体" w:hAnsi="宋体" w:cs="宋体"/>
          <w:sz w:val="24"/>
        </w:rPr>
        <w:t>排列顺序。</w:t>
      </w:r>
    </w:p>
    <w:p>
      <w:pPr>
        <w:spacing w:line="400" w:lineRule="exact"/>
        <w:ind w:firstLine="480" w:firstLineChars="200"/>
        <w:rPr>
          <w:rFonts w:ascii="宋体" w:hAnsi="宋体" w:cs="宋体"/>
          <w:sz w:val="24"/>
        </w:rPr>
      </w:pPr>
      <w:r>
        <w:rPr>
          <w:rFonts w:hint="eastAsia" w:ascii="宋体" w:hAnsi="宋体" w:cs="宋体"/>
          <w:sz w:val="24"/>
        </w:rPr>
        <w:t xml:space="preserve">6.2.2 </w:t>
      </w:r>
      <w:r>
        <w:rPr>
          <w:rFonts w:hint="eastAsia" w:ascii="宋体" w:hAnsi="宋体" w:cs="宋体"/>
          <w:color w:val="000000"/>
          <w:sz w:val="24"/>
          <w:lang w:eastAsia="zh-CN"/>
        </w:rPr>
        <w:t>询价小组</w:t>
      </w:r>
      <w:r>
        <w:rPr>
          <w:rFonts w:hint="eastAsia" w:ascii="宋体" w:hAnsi="宋体" w:cs="宋体"/>
          <w:sz w:val="24"/>
        </w:rPr>
        <w:t>在评标结束后将评标报告送采购人。</w:t>
      </w:r>
    </w:p>
    <w:p>
      <w:pPr>
        <w:spacing w:line="400" w:lineRule="exact"/>
        <w:ind w:firstLine="480" w:firstLineChars="200"/>
        <w:rPr>
          <w:rFonts w:ascii="宋体" w:hAnsi="宋体" w:cs="宋体"/>
          <w:sz w:val="24"/>
        </w:rPr>
      </w:pPr>
      <w:r>
        <w:rPr>
          <w:rFonts w:hint="eastAsia" w:ascii="宋体" w:hAnsi="宋体" w:cs="宋体"/>
          <w:sz w:val="24"/>
        </w:rPr>
        <w:t>6.2.3 采购人在收到评标报告后</w:t>
      </w:r>
      <w:r>
        <w:rPr>
          <w:rFonts w:hint="eastAsia" w:ascii="宋体" w:hAnsi="宋体" w:cs="宋体"/>
          <w:sz w:val="24"/>
          <w:lang w:val="en-US" w:eastAsia="zh-CN"/>
        </w:rPr>
        <w:t>1</w:t>
      </w:r>
      <w:r>
        <w:rPr>
          <w:rFonts w:hint="eastAsia" w:ascii="宋体" w:hAnsi="宋体" w:cs="宋体"/>
          <w:sz w:val="24"/>
        </w:rPr>
        <w:t>个工作日内公示中标候选人，公示期为</w:t>
      </w:r>
      <w:r>
        <w:rPr>
          <w:rFonts w:hint="eastAsia" w:ascii="宋体" w:hAnsi="宋体" w:cs="宋体"/>
          <w:sz w:val="24"/>
          <w:lang w:val="en-US" w:eastAsia="zh-CN"/>
        </w:rPr>
        <w:t>1</w:t>
      </w:r>
      <w:r>
        <w:rPr>
          <w:rFonts w:hint="eastAsia" w:ascii="宋体" w:hAnsi="宋体" w:cs="宋体"/>
          <w:sz w:val="24"/>
        </w:rPr>
        <w:t>日。公示期满无异议后，按照评标报告中推荐的中标候选人顺序确定中标人。</w:t>
      </w:r>
    </w:p>
    <w:p>
      <w:pPr>
        <w:spacing w:line="400" w:lineRule="exact"/>
        <w:ind w:firstLine="480" w:firstLineChars="200"/>
        <w:rPr>
          <w:rFonts w:ascii="宋体" w:hAnsi="宋体" w:cs="宋体"/>
          <w:sz w:val="24"/>
        </w:rPr>
      </w:pPr>
      <w:r>
        <w:rPr>
          <w:rFonts w:hint="eastAsia" w:ascii="宋体" w:hAnsi="宋体" w:cs="宋体"/>
          <w:sz w:val="24"/>
        </w:rPr>
        <w:t>注意，采购人按照推荐的中标候选人顺序确定中标人，不能认为采购人只能确定第一中标候选人为中标人，采购人有正当理由的，可以确定后一顺序中标候选人为中标人，依次类推。</w:t>
      </w:r>
    </w:p>
    <w:p>
      <w:pPr>
        <w:spacing w:line="400" w:lineRule="exact"/>
        <w:ind w:firstLine="480" w:firstLineChars="200"/>
        <w:rPr>
          <w:rFonts w:ascii="宋体" w:hAnsi="宋体" w:cs="宋体"/>
          <w:sz w:val="24"/>
        </w:rPr>
      </w:pPr>
      <w:r>
        <w:rPr>
          <w:rFonts w:hint="eastAsia" w:ascii="宋体" w:hAnsi="宋体" w:cs="宋体"/>
          <w:sz w:val="24"/>
        </w:rPr>
        <w:t>6.2.4 根据采购人确定的中标人，采购人在</w:t>
      </w:r>
      <w:r>
        <w:rPr>
          <w:rFonts w:hint="eastAsia" w:ascii="宋体" w:hAnsi="宋体" w:cs="宋体"/>
          <w:color w:val="000000"/>
          <w:sz w:val="24"/>
          <w:lang w:val="en-US" w:eastAsia="zh-CN"/>
        </w:rPr>
        <w:t>南江县妇幼保健院官</w:t>
      </w:r>
      <w:r>
        <w:rPr>
          <w:rFonts w:hint="eastAsia" w:ascii="宋体" w:hAnsi="宋体" w:cs="宋体"/>
          <w:color w:val="000000"/>
          <w:sz w:val="24"/>
        </w:rPr>
        <w:t>网上发</w:t>
      </w:r>
      <w:r>
        <w:rPr>
          <w:rFonts w:hint="eastAsia" w:ascii="宋体" w:hAnsi="宋体" w:cs="宋体"/>
          <w:sz w:val="24"/>
        </w:rPr>
        <w:t>布中标公告，同时向中标人发出中标通知书。</w:t>
      </w:r>
    </w:p>
    <w:p>
      <w:pPr>
        <w:spacing w:line="400" w:lineRule="exact"/>
        <w:ind w:firstLine="480" w:firstLineChars="200"/>
        <w:rPr>
          <w:rFonts w:ascii="宋体" w:hAnsi="宋体" w:cs="宋体"/>
          <w:sz w:val="24"/>
        </w:rPr>
      </w:pPr>
      <w:r>
        <w:rPr>
          <w:rFonts w:hint="eastAsia" w:ascii="宋体" w:hAnsi="宋体" w:cs="宋体"/>
          <w:sz w:val="24"/>
        </w:rPr>
        <w:t>6.2.5 招标采购单位不解释中标或落标原因，不退回投标文件和其他投标资料。</w:t>
      </w:r>
    </w:p>
    <w:p>
      <w:pPr>
        <w:pStyle w:val="5"/>
        <w:spacing w:line="400" w:lineRule="exact"/>
        <w:ind w:firstLine="482" w:firstLineChars="200"/>
        <w:rPr>
          <w:rFonts w:ascii="宋体" w:hAnsi="宋体" w:eastAsia="宋体" w:cs="宋体"/>
          <w:bCs w:val="0"/>
          <w:sz w:val="24"/>
          <w:szCs w:val="24"/>
        </w:rPr>
      </w:pPr>
      <w:bookmarkStart w:id="254" w:name="_Toc183582297"/>
      <w:bookmarkStart w:id="255" w:name="_Toc217446105"/>
      <w:bookmarkStart w:id="256" w:name="_Toc183682432"/>
      <w:bookmarkStart w:id="257" w:name="_Toc208849022"/>
      <w:bookmarkStart w:id="258" w:name="_Toc20150"/>
      <w:bookmarkStart w:id="259" w:name="_Toc18490"/>
      <w:bookmarkStart w:id="260" w:name="_Toc454373588"/>
      <w:bookmarkStart w:id="261" w:name="_Toc365468185"/>
      <w:r>
        <w:rPr>
          <w:rFonts w:hint="eastAsia" w:ascii="宋体" w:hAnsi="宋体" w:eastAsia="宋体" w:cs="宋体"/>
          <w:bCs w:val="0"/>
          <w:sz w:val="24"/>
          <w:szCs w:val="24"/>
        </w:rPr>
        <w:t xml:space="preserve">7. </w:t>
      </w:r>
      <w:bookmarkEnd w:id="254"/>
      <w:bookmarkEnd w:id="255"/>
      <w:bookmarkEnd w:id="256"/>
      <w:bookmarkEnd w:id="257"/>
      <w:r>
        <w:rPr>
          <w:rFonts w:hint="eastAsia" w:ascii="宋体" w:hAnsi="宋体" w:eastAsia="宋体" w:cs="宋体"/>
          <w:sz w:val="24"/>
          <w:szCs w:val="24"/>
        </w:rPr>
        <w:t>评审专家在采购活动中承担以下义务：</w:t>
      </w:r>
      <w:bookmarkEnd w:id="258"/>
      <w:bookmarkEnd w:id="259"/>
      <w:bookmarkEnd w:id="260"/>
      <w:bookmarkEnd w:id="261"/>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7.2 按照招投标相关法律法规和采购文件的规定要求对供应商的资格条件和供应商提供的技术、服务等方面严格进行评判，提供科学合理、公平公正的评审意见，参与起草评审报告，并予签字确认。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7.3 保守秘密。不得透露采购文件咨询情况，不得泄漏供应商的投标文件及知悉的商业秘密，不得向供应商透露评审情况。</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7.4 发现供应商在采购活动中有不正当竞争或恶意串通等违规行为，及时向评审工作的组织者或监督部门报告并加以制止。</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发现采购人及其工作人员在采购活动中有干预评审、发表倾向性和歧视性言论、受贿或者接受供应商的其他好处及其他违法违规行为，及时向监督部门报告。</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7.5 解答有关方面对评审工作中有关问题的询问，配合采购人答复供应商质疑，配合监督部门的投诉处理工作等事宜。</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7.6 法律、法规和规章规定的其他义务。</w:t>
      </w:r>
    </w:p>
    <w:p>
      <w:pPr>
        <w:pStyle w:val="5"/>
        <w:spacing w:line="400" w:lineRule="exact"/>
        <w:ind w:firstLine="482" w:firstLineChars="200"/>
        <w:rPr>
          <w:rFonts w:ascii="宋体" w:hAnsi="宋体" w:eastAsia="宋体" w:cs="宋体"/>
          <w:bCs w:val="0"/>
          <w:sz w:val="24"/>
          <w:szCs w:val="24"/>
        </w:rPr>
      </w:pPr>
      <w:bookmarkStart w:id="262" w:name="_Toc365468186"/>
      <w:bookmarkStart w:id="263" w:name="_Toc454373589"/>
      <w:bookmarkStart w:id="264" w:name="_Toc2059"/>
      <w:bookmarkStart w:id="265" w:name="_Toc24093"/>
      <w:r>
        <w:rPr>
          <w:rFonts w:hint="eastAsia" w:ascii="宋体" w:hAnsi="宋体" w:eastAsia="宋体" w:cs="宋体"/>
          <w:bCs w:val="0"/>
          <w:sz w:val="24"/>
          <w:szCs w:val="24"/>
        </w:rPr>
        <w:t>8.评审专家在采购活动中应当遵守以下工作纪律：</w:t>
      </w:r>
      <w:bookmarkEnd w:id="262"/>
      <w:bookmarkEnd w:id="263"/>
      <w:bookmarkEnd w:id="264"/>
      <w:bookmarkEnd w:id="265"/>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8.1 应邀按时参加评审和咨询活动。遇特殊情况不能出席或途中遇阻不能按时参加评审或咨询的，应及时告知采购人，不得私自转托他人。</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8.2 不得参加与自己有利害关系的采购项目的评审活动。对与自己有利害关系的评审项目，如受到邀请，应主动提出回避。监督部门、采购人也可要求该评审专家回避。</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8.3 评审或咨询过程中关闭通讯设备，不得与外界联系。因发生不可预见情况，确实需要与外界联系的，应当有在场工作人员陪同。</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8.5 在咨询工作中，严格执行国家政策和服务标准，认真听取咨询方的合理要求，提出科学合理的、无倾向性和歧视性的咨询方案，并对所提出的意见和建议承担个人责任。</w:t>
      </w:r>
    </w:p>
    <w:p>
      <w:pPr>
        <w:widowControl/>
        <w:autoSpaceDE w:val="0"/>
        <w:autoSpaceDN w:val="0"/>
        <w:spacing w:after="312" w:afterLines="100" w:line="400" w:lineRule="exact"/>
        <w:ind w:right="53" w:firstLine="480" w:firstLineChars="200"/>
        <w:textAlignment w:val="bottom"/>
        <w:rPr>
          <w:rFonts w:hint="eastAsia" w:ascii="宋体" w:hAnsi="宋体" w:cs="宋体"/>
        </w:rPr>
      </w:pPr>
      <w:r>
        <w:rPr>
          <w:rFonts w:hint="eastAsia" w:ascii="宋体" w:hAnsi="宋体" w:cs="宋体"/>
          <w:sz w:val="24"/>
        </w:rPr>
        <w:t>8.6 有关部门（机构）制定的其他评审工作纪律</w:t>
      </w:r>
      <w:r>
        <w:rPr>
          <w:rFonts w:hint="eastAsia" w:ascii="宋体" w:hAnsi="宋体" w:cs="宋体"/>
        </w:rPr>
        <w:t>。</w:t>
      </w:r>
    </w:p>
    <w:p>
      <w:pPr>
        <w:pStyle w:val="16"/>
        <w:rPr>
          <w:rFonts w:hint="eastAsia"/>
        </w:rPr>
      </w:pPr>
    </w:p>
    <w:p>
      <w:pPr>
        <w:pStyle w:val="27"/>
        <w:spacing w:after="312" w:afterLines="100"/>
        <w:jc w:val="center"/>
        <w:rPr>
          <w:rFonts w:cs="宋体" w:asciiTheme="minorEastAsia" w:hAnsiTheme="minorEastAsia" w:eastAsiaTheme="minorEastAsia"/>
          <w:sz w:val="24"/>
        </w:rPr>
      </w:pPr>
      <w:bookmarkStart w:id="266" w:name="_Toc12717"/>
      <w:bookmarkStart w:id="267" w:name="_Toc3292"/>
      <w:r>
        <w:rPr>
          <w:rFonts w:hint="eastAsia" w:ascii="宋体" w:eastAsia="宋体" w:cs="宋体"/>
          <w:sz w:val="36"/>
          <w:szCs w:val="36"/>
          <w:lang w:eastAsia="zh-CN"/>
        </w:rPr>
        <w:t>第六章</w:t>
      </w:r>
      <w:r>
        <w:rPr>
          <w:rFonts w:hint="eastAsia" w:ascii="宋体" w:eastAsia="宋体" w:cs="宋体"/>
          <w:sz w:val="36"/>
          <w:szCs w:val="36"/>
          <w:lang w:val="en-US" w:eastAsia="zh-CN"/>
        </w:rPr>
        <w:t xml:space="preserve">  </w:t>
      </w:r>
      <w:r>
        <w:rPr>
          <w:rFonts w:hint="eastAsia" w:ascii="宋体" w:eastAsia="宋体" w:cs="宋体"/>
          <w:sz w:val="36"/>
          <w:szCs w:val="36"/>
        </w:rPr>
        <w:t>合同主要条款</w:t>
      </w:r>
      <w:bookmarkEnd w:id="266"/>
      <w:bookmarkEnd w:id="267"/>
    </w:p>
    <w:p>
      <w:pPr>
        <w:jc w:val="center"/>
        <w:rPr>
          <w:rFonts w:asciiTheme="minorEastAsia" w:hAnsiTheme="minorEastAsia" w:eastAsiaTheme="minorEastAsia"/>
          <w:sz w:val="24"/>
        </w:rPr>
      </w:pPr>
      <w:r>
        <w:rPr>
          <w:rFonts w:hint="eastAsia" w:asciiTheme="minorEastAsia" w:hAnsiTheme="minorEastAsia" w:eastAsiaTheme="minorEastAsia"/>
          <w:sz w:val="24"/>
        </w:rPr>
        <w:t>消防维保服务合同</w:t>
      </w:r>
    </w:p>
    <w:p>
      <w:pPr>
        <w:rPr>
          <w:rFonts w:asciiTheme="minorEastAsia" w:hAnsiTheme="minorEastAsia" w:eastAsiaTheme="minorEastAsia"/>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采购方：  （以下简称甲方）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地  址：</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统一社会信用代码：</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联系人：     联系电话：</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服务商：    （以下简称乙方）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地  址：</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统一社会信用代码：</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联系人：     联系电话：</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根据《中华人民共和国民法典》的有关规定，本着平等互利、公平公正的原则，经甲、乙双方友好协商，就甲方所属消防系统、消防设施维保等事宜签订本合同。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一、合同事项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（一）项目名称：。</w:t>
      </w:r>
    </w:p>
    <w:p>
      <w:pPr>
        <w:widowControl/>
        <w:autoSpaceDE w:val="0"/>
        <w:autoSpaceDN w:val="0"/>
        <w:spacing w:line="400" w:lineRule="exact"/>
        <w:ind w:right="53" w:firstLine="480" w:firstLineChars="200"/>
        <w:textAlignment w:val="bottom"/>
        <w:rPr>
          <w:rFonts w:hint="default" w:ascii="宋体" w:hAnsi="宋体" w:cs="宋体"/>
          <w:sz w:val="24"/>
          <w:lang w:val="en-US"/>
        </w:rPr>
      </w:pPr>
      <w:r>
        <w:rPr>
          <w:rFonts w:hint="eastAsia" w:ascii="宋体" w:hAnsi="宋体" w:cs="宋体"/>
          <w:sz w:val="24"/>
        </w:rPr>
        <w:t>（二）项目地址：</w:t>
      </w:r>
      <w:r>
        <w:rPr>
          <w:rFonts w:hint="eastAsia" w:ascii="宋体" w:hAnsi="宋体" w:cs="宋体"/>
          <w:color w:val="000000"/>
          <w:sz w:val="24"/>
          <w:lang w:val="en-US" w:eastAsia="zh-CN"/>
        </w:rPr>
        <w:t>南江县妇幼保健院（南江县集州街道米仓山大道文庙滨河路168号）一、二、三综合大楼。</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（三）维保范围（包括但不限于）：</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项目所涉及消防系统及设施维保包括但不限于：火灾自动报警系统、消防联动控制系统、自动气体灭火系统、自动喷淋灭火系统、消火栓系统、防烟排烟系统、防火分隔设施、应急照明和疏散指示标志系统、消防通讯设备及应急广播系统、消防供电设施、消防供水设施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注：本合同维保服务是指对消防系统、消防设施等定期进行巡查、检修、保养、维护、检测等。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巡检（巡查、检修、保养）服务。每月对消防设施进行一次全面检查，排除系统故障，确保系统稳定运行。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维护服务。在巡检服务中对系统故障进行维修，恢复系统正常运行。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年度检测。每年对消防系统进行检测并出具检测报告。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二、合同期限</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本合同期限为3年。</w:t>
      </w:r>
      <w:r>
        <w:rPr>
          <w:rFonts w:hint="eastAsia" w:ascii="宋体" w:hAnsi="宋体" w:cs="宋体"/>
          <w:sz w:val="24"/>
          <w:lang w:val="en-US" w:eastAsia="zh-CN"/>
        </w:rPr>
        <w:t>第一年</w:t>
      </w:r>
      <w:r>
        <w:rPr>
          <w:rFonts w:hint="eastAsia" w:ascii="宋体" w:hAnsi="宋体" w:cs="宋体"/>
          <w:sz w:val="24"/>
        </w:rPr>
        <w:t>从202</w:t>
      </w:r>
      <w:r>
        <w:rPr>
          <w:rFonts w:hint="eastAsia" w:ascii="宋体" w:hAnsi="宋体" w:cs="宋体"/>
          <w:sz w:val="24"/>
          <w:lang w:val="en-US" w:eastAsia="zh-CN"/>
        </w:rPr>
        <w:t>2</w:t>
      </w:r>
      <w:r>
        <w:rPr>
          <w:rFonts w:hint="eastAsia" w:ascii="宋体" w:hAnsi="宋体" w:cs="宋体"/>
          <w:sz w:val="24"/>
        </w:rPr>
        <w:t>年   月  日起至202</w:t>
      </w:r>
      <w:r>
        <w:rPr>
          <w:rFonts w:hint="eastAsia" w:ascii="宋体" w:hAnsi="宋体" w:cs="宋体"/>
          <w:sz w:val="24"/>
          <w:lang w:val="en-US" w:eastAsia="zh-CN"/>
        </w:rPr>
        <w:t>3</w:t>
      </w:r>
      <w:r>
        <w:rPr>
          <w:rFonts w:hint="eastAsia" w:ascii="宋体" w:hAnsi="宋体" w:cs="宋体"/>
          <w:sz w:val="24"/>
        </w:rPr>
        <w:t>年   月   日止。</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三、维保费用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（一）费用总额</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lang w:val="en-US" w:eastAsia="zh-CN"/>
        </w:rPr>
        <w:t>南江县妇幼保健院一、二、三综合大楼</w:t>
      </w:r>
      <w:r>
        <w:rPr>
          <w:rFonts w:hint="eastAsia" w:ascii="宋体" w:hAnsi="宋体" w:cs="宋体"/>
          <w:sz w:val="24"/>
        </w:rPr>
        <w:t>消防系统、消防设施维保费为中标价：人民币          元/年（大写：             元整）。本费用总额包括但不限于人工费、工时费、往返项目所在地的费用、税金等所有税费。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说明：</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在维护保养时，如一次性更换材料单价在</w:t>
      </w:r>
      <w:r>
        <w:rPr>
          <w:rFonts w:hint="eastAsia" w:ascii="宋体" w:hAnsi="宋体" w:cs="宋体"/>
          <w:sz w:val="24"/>
          <w:lang w:val="en-US" w:eastAsia="zh-CN"/>
        </w:rPr>
        <w:t>200</w:t>
      </w:r>
      <w:r>
        <w:rPr>
          <w:rFonts w:hint="eastAsia" w:ascii="宋体" w:hAnsi="宋体" w:cs="宋体"/>
          <w:sz w:val="24"/>
        </w:rPr>
        <w:t>元以内的费用由乙方承担，单价在</w:t>
      </w:r>
      <w:r>
        <w:rPr>
          <w:rFonts w:hint="eastAsia" w:ascii="宋体" w:hAnsi="宋体" w:cs="宋体"/>
          <w:sz w:val="24"/>
          <w:lang w:val="en-US" w:eastAsia="zh-CN"/>
        </w:rPr>
        <w:t>200</w:t>
      </w:r>
      <w:r>
        <w:rPr>
          <w:rFonts w:hint="eastAsia" w:ascii="宋体" w:hAnsi="宋体" w:cs="宋体"/>
          <w:sz w:val="24"/>
        </w:rPr>
        <w:t>元以上的材料费经甲方确认后由甲方承担。（单价在</w:t>
      </w:r>
      <w:r>
        <w:rPr>
          <w:rFonts w:hint="eastAsia" w:ascii="宋体" w:hAnsi="宋体" w:cs="宋体"/>
          <w:sz w:val="24"/>
          <w:lang w:val="en-US" w:eastAsia="zh-CN"/>
        </w:rPr>
        <w:t>200</w:t>
      </w:r>
      <w:r>
        <w:rPr>
          <w:rFonts w:hint="eastAsia" w:ascii="宋体" w:hAnsi="宋体" w:cs="宋体"/>
          <w:sz w:val="24"/>
        </w:rPr>
        <w:t>元以内的材料主要有：喷头、压力表、末端试水装置上的阀门、管网中的管卡、沟槽卡枯、湿式报警阀上的试水阀门、压力开关、排气阀、喷淋泵控制柜里面的24V继电器、中间继电器、保险管、万能转换开关，DN50以下的各种阀门，DN50以下各种管件，消火栓栓头、消火栓泵控制柜里面的24V继电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若乙方人员进行维保作业时损坏甲方设备，其材料费、修理费由乙方承担。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（二）支付时间</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本合同约定的一个年度费用</w:t>
      </w:r>
      <w:r>
        <w:rPr>
          <w:rFonts w:hint="eastAsia" w:ascii="宋体" w:hAnsi="宋体" w:cs="宋体"/>
          <w:sz w:val="24"/>
          <w:lang w:val="en-US" w:eastAsia="zh-CN"/>
        </w:rPr>
        <w:t>在合同期满前30日内一次性支付。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维护保养中零星发生的费用在</w:t>
      </w:r>
      <w:r>
        <w:rPr>
          <w:rFonts w:hint="eastAsia" w:ascii="宋体" w:hAnsi="宋体" w:cs="宋体"/>
          <w:sz w:val="24"/>
          <w:lang w:val="en-US" w:eastAsia="zh-CN"/>
        </w:rPr>
        <w:t>当月维保结束后凭票</w:t>
      </w:r>
      <w:r>
        <w:rPr>
          <w:rFonts w:hint="eastAsia" w:ascii="宋体" w:hAnsi="宋体" w:cs="宋体"/>
          <w:sz w:val="24"/>
        </w:rPr>
        <w:t>支付。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（三）支付方式</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每次结算费用前，乙方必须向甲方出具符合甲方要求的增值税专用发票，甲方在收到发票后5个工作日内通过银行转账方式支付给本合同乙方约定的银行账户；如乙方未按合同约定向甲方出具符合甲方要求的增值税发票，甲方有权拒绝付款。</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乙方指定的收款账户信息：</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账户名称：XXXXXXXXXX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开户银行：XXXXXXXXX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帐  号：XXXXXXXXX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增值税专用发票甲方信息：</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单位名称：</w:t>
      </w:r>
      <w:r>
        <w:rPr>
          <w:rFonts w:hint="eastAsia" w:ascii="宋体" w:hAnsi="宋体" w:cs="宋体"/>
          <w:sz w:val="24"/>
          <w:lang w:val="en-US" w:eastAsia="zh-CN"/>
        </w:rPr>
        <w:t>南江县妇幼保健院</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单位地址：</w:t>
      </w:r>
      <w:r>
        <w:rPr>
          <w:rFonts w:hint="eastAsia" w:ascii="宋体" w:hAnsi="宋体" w:cs="宋体"/>
          <w:color w:val="000000"/>
          <w:sz w:val="24"/>
          <w:lang w:val="en-US" w:eastAsia="zh-CN"/>
        </w:rPr>
        <w:t>南江县集州街道米仓山大道文庙滨河路168号</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统一社会信用代码：</w:t>
      </w:r>
      <w:r>
        <w:rPr>
          <w:rFonts w:hint="eastAsia" w:ascii="宋体" w:hAnsi="宋体" w:cs="宋体"/>
          <w:sz w:val="24"/>
          <w:lang w:val="en-US" w:eastAsia="zh-CN"/>
        </w:rPr>
        <w:t>12513722733395628A</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电话号码：0827-</w:t>
      </w:r>
      <w:r>
        <w:rPr>
          <w:rFonts w:hint="eastAsia" w:ascii="宋体" w:hAnsi="宋体" w:cs="宋体"/>
          <w:sz w:val="24"/>
          <w:lang w:val="en-US" w:eastAsia="zh-CN"/>
        </w:rPr>
        <w:t>8228120</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开户银行：中国工商银行</w:t>
      </w:r>
      <w:r>
        <w:rPr>
          <w:rFonts w:hint="eastAsia" w:ascii="宋体" w:hAnsi="宋体" w:cs="宋体"/>
          <w:sz w:val="24"/>
          <w:lang w:val="en-US" w:eastAsia="zh-CN"/>
        </w:rPr>
        <w:t>南江县支</w:t>
      </w:r>
      <w:r>
        <w:rPr>
          <w:rFonts w:hint="eastAsia" w:ascii="宋体" w:hAnsi="宋体" w:cs="宋体"/>
          <w:sz w:val="24"/>
        </w:rPr>
        <w:t xml:space="preserve">行 </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帐  号：</w:t>
      </w:r>
      <w:r>
        <w:rPr>
          <w:rFonts w:hint="eastAsia" w:ascii="宋体" w:hAnsi="宋体" w:cs="宋体"/>
          <w:sz w:val="24"/>
          <w:lang w:val="en-US" w:eastAsia="zh-CN"/>
        </w:rPr>
        <w:t>2318595129100051673</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四、履约保证金</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lang w:val="en-US" w:eastAsia="zh-CN"/>
        </w:rPr>
        <w:t>不收取。</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五、维保内容及要求（包括但不限于）</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乙方应按照以下项目按期开展维保工作，填写相关检查、检测、检修等记录表格，经甲方签字确认；每年向甲方出具消防系统、设施设备检测报告。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（一）火灾自动报警及消防联动控制系统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1.日常查看火灾报警探测器、手动报警按钮、火灾警报装置的外观和运行状态；查看火灾报警控制器、区域显示器、CRT图形显示器的运行状态，每季度完成对全部设备的查看，并填写相关表格记录。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每月对火灾报警探测器、手动报警按钮做报警功能试验，检查火灾报警控制器的火灾和故障声光报警功能、火警优先功能、打印机打印功能、火灾显示盘和CRT显示器的信息显示功能，并填写相关表格记录。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季度选择部分回路进行报警控制系统模拟联动试验，检查探测器、火灾报警控制器的各项功能以及对联动设备的控制和显示功能，试验探测器数量不应少于总数的25％；每季度要分别采用自动控制和手动控制的方式检查联动消防设备的启、停以及报警控制器上反馈信号的显示功能；每季度对消防设备电源进行1～3次主、备电源间的自动切换，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每年对火灾自动报警系统进行一次系统模拟联动试验，检测联动控制和显示功能，并填写相关表格记录。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5. 火灾报警探测器每两年后应进行一次清洗，签订合同后清洗一次，以后在合同第三年进行一次清洗并粘贴清洗标识。</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（二）自动气体灭火系统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检查自动气体灭火系统灭火剂储存容器、选择阀、高压软管、集流管、阀驱动装置、管网与喷嘴等系统部件外观有无机械损伤、锈蚀和镀层脱落，如存在缺陷，应及时更换。检查电磁阀与控制阀的连接导线是否完好，端子是否松动或脱落。每月完成对全部设备的检查，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检查自动气体灭火系统的灭火剂储存容器压力或重量，若压力损失超过设计值的10％或重量损失超过设计值的5％时，应予以填充或更换；检查气体灭火保护区内报警系统、气体灭火控制盘、紧急启动/停止装置、声光报警装置的运行状态；查看管道和喷嘴是否完整无损，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对气体灭火系统进行两次全面检测和联动试验。在各防护区进行探测器模拟烟温报警联动，检查气体灭火系统自动和手动控制启、停的可靠性，报警及延时的准确性和各报警控制装置、电磁阀动作的灵活性以及消防控制室的反馈信号显示功能等，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（三）自动喷水灭火系统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检查自动喷水灭火系统状态和使用环境，重点检查系统组件包括各类阀门、报警阀组、喷头、管道、供水设施等设备外观有无损坏、锈蚀、渗漏，系统工作环境或保护对象是否正常等；检查喷淋泵控制柜的控制方式是否为自动运行方式；检查末端试水装置的压力值是否满足设计要求。每季度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季度应对自动喷水灭火系统的部分管网进行检查，通过末端试水装置进行放水试验，查看阀门的开启性能和密封性能，水流指示器、压力开关、延时器、水力警铃及喷淋泵的状态以及火灾报警控制器上显示的报警或动作响应，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每年至少对自动喷水灭火系统进行一次试验，检测从供水管道至系统组件的全部功能，并填写相关表格记录。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 室内外消火栓系统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日常查看室内消火栓、消火栓按钮、室外消火栓、消防水泵接合器及标志，对被圈占、埋压、损坏、挪用的设备，一经发现及时恢复，每月完成对全部设备的查看，并填写相关表格记录。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对消火栓及其供水管道进行检查，及时清除消火栓周围的杂物；检查消火栓有无生锈漏水现象，栓口的橡胶垫圈等密封件有无损坏或丢失，消火栓的闸阀开启是否灵活，必要时应对阀杆加润滑油；检查室内消火栓箱内的水枪、水带、启泵按钮等设备是否完好，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每年检查各消火栓的出水情况，确保正常水压状态，并填写相关记录。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设置在通信机房内的消火栓，应做封闭处理。</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 防烟排烟与通风空调系统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日常查看机械防、排烟系统组件有无损坏、锈蚀的现象，正压送风口、机械排烟风口及其现场手动开启装置是否被遮挡，每月完成对全部设备的查看，并填写相关表格记录。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每月手动开启、关闭正压送风口、排烟风口，防火阀，对每个防烟（或正压送风）分区进行动作试验，检验其灵活性和密封性，并填写相关表格记录。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每季度测试机械防、排烟系统手动、自动启动功能及空调防火阀的关闭功能，检测各组件的运行状态，并填写相关表格记录。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每年进行模拟报警试验，启动正压送风机、排烟风机，开启正压送风口和排烟风口，关闭空调和防火阀，并填写相关表格记录。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 防火门及活动式防火分隔设施</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日常查看防火门、电动防火门、防火卷帘门是否处于正常的开启或闭合状态，外观是否完好，及时清除上述设备附近影响其正常关闭和开启的障碍物，每月完成对全部设备的查看，并填写相关表格记录。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每月对防火门启闭功能、防火卷帘门升降功能的手动启动、电动启动及机械应急启动做控制试验，并填写相关表格记录。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每半年对防火门的铰链、闭门器及防火卷帘的轨道、卷门机轴进行润滑保养。</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每年通过报警联动，检查电动防火门的开启或关闭功能、防火卷帘门的升降功能以及动作信号的反馈显示，并填写相关表格记录。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（七）火灾应急照明和疏散指示标志系统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日常查看火灾应急照明和疏散指示标志外观，每月完成对全部设备的查看，并填写相关表格记录。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每月手动切断市电，检查应急照明灯和疏散指示标志的启动，并填写相关表格记录。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每年通过报警联动对应急照明灯和疏散指示标志等进行功能和安全性检查，并填写相关表格记录。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（八）消防电梯、消防通讯设备及火灾应急广播系统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消防电梯的紧急按钮外观；查看消防电话主机、座机和电话插孔以及对讲机外观有无拆卸、改动、破损和脱落；查看应急广播功放、音源及扬声器外观是否完好，接线有无松动、破损和脱落。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检查迫降按钮的控制功能；使用主机、分机（包括插孔手柄电话）进行双向呼叫通话试验，检查电话主机功能和通话质量；检查对讲机功能和通话质量；检查手动选层广播和广播强制切换功能，检查扬声器广播质量和音量，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每年通过报警联动，检查电梯迫降功能和消防广播自动切换功能；对消防通讯设备进行一次全面的通话检测，并填写相关表格记录。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（九）消防供电系统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消防专用配电柜、开关柜及消防用电设备双电源末端切换箱是否处于正常的工作状态。查看备用电源（EPS、UPS、自备发电机）的外观，查看自备发电机的储油量是否符合设计要求，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每季度检查消防用电设备处双电源末端切换装置能否正常自动切换，并填写相关表格记录。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 消防供水系统</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消防水池、消防水箱、水泵接合器外观有无损坏、锈蚀、渗漏，启闭位置是否正常。消防水泵、稳压泵、增压泵、气压水罐、管网控制阀门等工作状态是否正常。每月完成对全部设备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每月检查消防水池、消防水箱的水位，发现水位不足时及时补充；检查各类常开、常闭阀门的启闭状态是否正常，每台消防水泵应每月进行一次运转试验，检查消防水泵的运行情况，并填写相关表格记录。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（十一）建筑灭火器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日常查看灭火器的数量和位置有无改变，其外观有无损坏、锈蚀，标牌是否清晰，每月完成对全部灭火器的查看，并填写相关表格记录。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每月逐一检查灭火器压力值是否满足要求，并填写相关表格记录。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每年应委托专业维修单位对所有灭火器进行一次功能性检测，查看是否存在灭火剂失效、超出规定使用年限的情况，并张贴检测标志，并填写相关表格记录。每月负责灭火器检查记录卡、消火栓检查记录卡的填写登记。</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（十二）疏散楼梯、疏散走道、疏散门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日常查看疏散通道（含疏散楼梯间、前室、疏散走道、安全出口）是否畅通无阻挡物。发现问题及时清理，并填写相关表格记录。</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六、权利与义务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（一）甲方权利与义务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甲方应向乙方提供全套的消防系统竣工资料、图纸复印件，便于掌握消防系统情况和开展维修工作，合同期满后如数归还甲方。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超过生产企业规定使用年限的消防设施须进行更换，以及非乙方责任的人为因素或不可抗力因素（如雷击、水灾、风暴、战争、地震等）造成设备和线路损坏，由甲方另行支付。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因甲方原因（如建筑工程重新装修、格局调整、使用性质变更、增减新的系统设备等）造成系统设备的损坏及拆除、安装和设备的增加等，乙方将按《四川省建设工程工程量清单计价定额》以及《全国统一安装工程预算定额四川省估价表》和省造价站核定的企业取费标准另行收取费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甲方因故对房屋进行改造、装修时应及时通知乙方；乙方对甲方由于改造、装修原因造成的消防系统不符合消防规范的地方，有义务通知甲方进行整改。如未提出整改要求所造成的损失由乙方承担。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5. 甲方无故不按合同规定按时足额付款，以及系统出现故障不及时通知乙方，由此引起的火灾及一切损失和责任由甲方自行承担。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6. 乙方在维护现场工作时，甲方应为乙方维护人员的工作提供联络、通行等方便。</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（二）乙方权利与义务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乙方派往甲方的维保作业人员应经过消防部门专业考试合格，持证上岗；有强烈的责任感和认真负责的精神，做到科学检查、精心维护、保证质量；使报警等消防系统灵敏、可靠，保持常年正常运行；按照要求建立消防设施维护管理档案；每次维护工作结束时必须认真如实填写相应的维护保养记录表格，并经甲方使用、管理部门负责人员签字认可。</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乙方应定期和不定期对所负责的建筑消防系统设备进行巡检，对损坏的系统设备进行维修、更换。及时发现和排除故障隐患及不安全因素，随时保证系统运行良好、监控准确。遇重大节假日或重要会议前应调整计划并对该消防系统专项检查。</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乙方应确保整个合同履行过程中甲乙双方和第三方的人生、财产安全，对整个合同履行过程中发生的人身财产安全责任事故承担全部法律和经济责任。</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4. 乙方建立消防设施故障报告和故障消除登记制度，发现设备故障或非正常状态，应及时组织检测和修复。因故障、维修等原因需要暂停系统的，需经甲方单位安全管理部门同意，并采取有效措施确保安全。对系统设备、线路进行排障、拆除更换时，应派人24小时值班，并经甲方同意后方可进行，否则造成的损失由乙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5. 乙方应根据当时系统设备、线路故障情况，订出排故障时限。接到故障申报后，巴中、恩阳城区1小时内到达现场；其他县城区2.5小时内到达现场；当场有条件解决的应当立即解决，没有条件当场解决的，应当在24小时内解决；需要由产品供应商解决的，不影响系统正常工作的应当在7个工作日内解决，影响系统正常工作的应当在3个工作日内解决。</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6. 消防系统若发生重大故障，必须进行较大的维修或更换部件，须报甲方批准。甲方应迅速给予乙方答复，如因甲方延误而造成的一切责任应由甲方承担。</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7. 合同维护期内，乙方须每半年用专用检测仪器对全部火灾探测器进行检测，凡灵敏度不能达到要求的，由乙方负责更换。</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8. 在本合同期内若发生火情，属乙方未履行合同有关规定条款和义务，乙方应依法承担相应责任（不可抗力因素除外，如：雷击、水灾、风暴、战争、地震等）。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9. 消防部门检查工作时，乙方应主动参加，认真听取消防部门意见，积极配合甲方工作，对消防系统存在的问题按要求进行整改完善。</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10. 乙方不得将维保项目转包或分包给第三方，否则，乙方应退还已收取的维护保养费，由此引发的事故由乙方承担全部经济和法律责任，且甲方有权解除合同。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七、其他事项</w:t>
      </w:r>
    </w:p>
    <w:p>
      <w:pPr>
        <w:widowControl/>
        <w:autoSpaceDE w:val="0"/>
        <w:autoSpaceDN w:val="0"/>
        <w:spacing w:line="400" w:lineRule="exact"/>
        <w:ind w:right="53" w:firstLine="480" w:firstLineChars="200"/>
        <w:textAlignment w:val="bottom"/>
        <w:rPr>
          <w:rFonts w:hint="default" w:ascii="宋体" w:hAnsi="宋体" w:eastAsia="宋体" w:cs="宋体"/>
          <w:sz w:val="24"/>
          <w:lang w:val="en-US" w:eastAsia="zh-CN"/>
        </w:rPr>
      </w:pPr>
      <w:r>
        <w:rPr>
          <w:rFonts w:hint="eastAsia" w:ascii="宋体" w:hAnsi="宋体" w:cs="宋体"/>
          <w:sz w:val="24"/>
        </w:rPr>
        <w:t>1.前期排查：中标人在签订合同后的15个工作日内对</w:t>
      </w:r>
      <w:r>
        <w:rPr>
          <w:rFonts w:hint="eastAsia" w:ascii="宋体" w:hAnsi="宋体" w:cs="宋体"/>
          <w:sz w:val="24"/>
          <w:lang w:val="en-US" w:eastAsia="zh-CN"/>
        </w:rPr>
        <w:t>一、二、三综合大楼</w:t>
      </w:r>
      <w:r>
        <w:rPr>
          <w:rFonts w:hint="eastAsia" w:ascii="宋体" w:hAnsi="宋体" w:cs="宋体"/>
          <w:sz w:val="24"/>
        </w:rPr>
        <w:t>消防系统、设施等进行一次全面的检查，对发现的问题列出清单及时向采购人报告，由采购人及时整改。</w:t>
      </w:r>
      <w:r>
        <w:rPr>
          <w:rFonts w:hint="eastAsia" w:ascii="宋体" w:hAnsi="宋体" w:cs="宋体"/>
          <w:sz w:val="24"/>
          <w:lang w:val="en-US" w:eastAsia="zh-CN"/>
        </w:rPr>
        <w:t>属维保范围的由中标人负责整改。</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本合同未尽事宜，由双方协商一致订立补充合同，与本合同具有同等法律效力。</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3. 甲乙双方对各自提供的关于单位名称、统一社会信用代码、地址、开户银行、账号等相关信息的真实性、有效性、准确性负责。</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八、违约责任</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1. 乙方未严格按照本合同内容进行维保，乙方除应按合同年度费用总价的5%向甲方支付违约金外，甲方还有权单方解除合同。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 甲方不按本合同约定时间按时足额支付乙方费用，每延迟一天按当次应支付金额的1%向乙方支付违约金。</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九、争议解决</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本合同履行期间若发生争议，可协商或由有关部门调解解决，协商或调解不成的，任何一方可向</w:t>
      </w:r>
      <w:r>
        <w:rPr>
          <w:rFonts w:hint="eastAsia" w:ascii="宋体" w:hAnsi="宋体" w:cs="宋体"/>
          <w:sz w:val="24"/>
          <w:lang w:val="en-US" w:eastAsia="zh-CN"/>
        </w:rPr>
        <w:t>南江县</w:t>
      </w:r>
      <w:r>
        <w:rPr>
          <w:rFonts w:hint="eastAsia" w:ascii="宋体" w:hAnsi="宋体" w:cs="宋体"/>
          <w:sz w:val="24"/>
        </w:rPr>
        <w:t>人民法院提起诉讼。</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十、合同生效</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本合同一式伍份，甲方执肆份，乙方执壹份，自双方签章后生效。</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甲方（盖章）：</w:t>
      </w:r>
      <w:r>
        <w:rPr>
          <w:rFonts w:hint="eastAsia" w:ascii="宋体" w:hAnsi="宋体" w:cs="宋体"/>
          <w:sz w:val="24"/>
          <w:lang w:val="en-US" w:eastAsia="zh-CN"/>
        </w:rPr>
        <w:t xml:space="preserve">                        </w:t>
      </w:r>
      <w:r>
        <w:rPr>
          <w:rFonts w:hint="eastAsia" w:ascii="宋体" w:hAnsi="宋体" w:cs="宋体"/>
          <w:sz w:val="24"/>
        </w:rPr>
        <w:t xml:space="preserve">  乙方（盖章）：</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法定代表人                           </w:t>
      </w:r>
      <w:r>
        <w:rPr>
          <w:rFonts w:hint="eastAsia" w:ascii="宋体" w:hAnsi="宋体" w:cs="宋体"/>
          <w:sz w:val="24"/>
          <w:lang w:val="en-US" w:eastAsia="zh-CN"/>
        </w:rPr>
        <w:t xml:space="preserve">   </w:t>
      </w: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或受托人（签字）：                    </w:t>
      </w:r>
      <w:r>
        <w:rPr>
          <w:rFonts w:hint="eastAsia" w:ascii="宋体" w:hAnsi="宋体" w:cs="宋体"/>
          <w:sz w:val="24"/>
          <w:lang w:val="en-US" w:eastAsia="zh-CN"/>
        </w:rPr>
        <w:t xml:space="preserve">  </w:t>
      </w:r>
      <w:r>
        <w:rPr>
          <w:rFonts w:hint="eastAsia" w:ascii="宋体" w:hAnsi="宋体" w:cs="宋体"/>
          <w:sz w:val="24"/>
        </w:rPr>
        <w:t>或受托人（签字）：</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合同签订地点：                   </w:t>
      </w:r>
      <w:r>
        <w:rPr>
          <w:rFonts w:hint="eastAsia" w:ascii="宋体" w:hAnsi="宋体" w:cs="宋体"/>
          <w:sz w:val="24"/>
          <w:lang w:val="en-US" w:eastAsia="zh-CN"/>
        </w:rPr>
        <w:t xml:space="preserve">       </w:t>
      </w:r>
      <w:r>
        <w:rPr>
          <w:rFonts w:hint="eastAsia" w:ascii="宋体" w:hAnsi="宋体" w:cs="宋体"/>
          <w:sz w:val="24"/>
        </w:rPr>
        <w:t>日期：   年    月  日</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textAlignment w:val="bottom"/>
        <w:rPr>
          <w:rFonts w:hint="eastAsia" w:ascii="宋体" w:hAnsi="宋体" w:cs="宋体"/>
          <w:sz w:val="24"/>
        </w:rPr>
      </w:pPr>
    </w:p>
    <w:p>
      <w:pPr>
        <w:pStyle w:val="16"/>
        <w:rPr>
          <w:rFonts w:hint="eastAsia" w:ascii="宋体" w:hAnsi="宋体" w:cs="宋体"/>
          <w:sz w:val="24"/>
        </w:rPr>
      </w:pPr>
    </w:p>
    <w:p>
      <w:pPr>
        <w:pStyle w:val="16"/>
        <w:rPr>
          <w:rFonts w:hint="eastAsia" w:ascii="宋体" w:hAnsi="宋体" w:cs="宋体"/>
          <w:sz w:val="24"/>
        </w:rPr>
      </w:pPr>
    </w:p>
    <w:p>
      <w:pPr>
        <w:pStyle w:val="16"/>
        <w:jc w:val="center"/>
        <w:rPr>
          <w:rFonts w:hint="default" w:ascii="宋体" w:hAnsi="宋体" w:eastAsia="宋体" w:cs="宋体"/>
          <w:b/>
          <w:bCs/>
          <w:sz w:val="36"/>
          <w:szCs w:val="24"/>
          <w:lang w:val="en-US" w:eastAsia="zh-CN"/>
        </w:rPr>
      </w:pPr>
      <w:r>
        <w:rPr>
          <w:rFonts w:hint="eastAsia" w:ascii="宋体" w:hAnsi="宋体" w:cs="宋体"/>
          <w:b/>
          <w:bCs/>
          <w:sz w:val="36"/>
          <w:szCs w:val="24"/>
          <w:lang w:val="en-US" w:eastAsia="zh-CN"/>
        </w:rPr>
        <w:t>第七章  廉洁合同</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甲方（采购方）： XXXXXXXXXX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乙方（供应商）： XXXXXXXXXX</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根据相关法律法规以及党和国家有关廉洁规定 ，为保证甲、乙双方在经济往来中遵纪守法，促进反腐倡廉，现双方本着平等、公平原则，签定如下合同：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第一条 甲乙双方的权利和义务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(一)严格遵守相关法律法规以及党和国家、烟草行业有关廉洁制度规定。</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(二)严格执行合同，自觉按合同办事。</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(三)双方的业务活动坚持公开、公正、诚信、透明的原则(除法律认定的商业秘密和合同文件另有规定之外)，不得损害国家和企业利益。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(四)建立健全廉洁制度，开展廉洁教育，公布举报电话，监督并认真查处违法违 纪行为。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(五)发现对方在业务活动中有违反廉洁规定的行为，有及时提醒对方纠正的权利和义务。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(六)发现对方严重违反本合同义务条款的行为，有向其上级有关部门举报，建议给予处理并要求告知处理结果的权利。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第二条 甲方的义务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(一)甲方及其工作人员不得索要或接受乙方的礼金、有价证券和贵重物品，不得在乙方报销任何应由甲方或个人支付的费用等。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(二)甲方工作人员不得参加乙方安排的超标准宴请或可能对公正执行公务有影响的其他宴请和娱乐活动；不得接受乙方提供的通讯工具、交通工具和高档办公用品等。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(三)甲方及其工作人员不得要求或者接受乙方为其住房装修、婚丧嫁娶活动、配偶子女等特定关系人的工作安排以及出国出境、旅游等提供方便等。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(四)甲方工作人员不得收受乙方提供的干股或由乙方出资，“合作”开办公司或者进行其它“合作”投资。</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（五）甲方工作人员不得通过赌博方式收受乙方财物。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（六）甲方工作人员不得以委托乙方投资证券、期货或者其它委托理财的名义， 未实际出资而获取“利益”，或者虽然出资，但获取“收益”明显高于出资应得收益。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（七）甲方工作人员不得授意乙方以本规定所列形式，将有关财物给予特定关系 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（八）甲方工作人员不得利用职务之便为乙方谋取利益，约定在其离职后收受乙方财物。</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（九）甲方工作人员不得向乙方拆借资金、要求乙方为子女亲属安排工作或者索取其他不正当利益。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（十）甲方工作人员如与乙方有利害关系的，应当在采购活动中申请回避。</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第三条 乙方义务</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(一)乙方不得提供虚假材料谋取中标、成交。不得采取不正当手段诋毁、排挤其他供应商。</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（二）乙方不得与采购人、其他供应商或者招标代理机构恶意串通，向招标代理机构行贿或者提供其他不正当利益，不得拒绝有关部门监督检查或者提供虚假情况。</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(三)乙方不得以任何理由向甲方及其工作人员行贿或馈赠礼金、有价证券、贵重礼品。</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(四)乙方不得以任何名义为甲方及其工作人员报销应由甲方单位或个人支付的任何费用。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(五)乙方不得以任何理由邀请甲方工作人员外出旅游或安排甲方工作人员参加超标准宴请及娱乐活动。不得为甲方单位和个人购置或提供通讯工具、交通工具和高档办公用品等。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(六)乙方不得为甲方工作人员提供个人住房装修、婚丧嫁娶活动、配偶子女等特定关系人的工作安排以及出国出境、旅游等提供方便等。</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（七）乙方不得为甲方工作人员提供干股；不得自行出资与甲方工作人员“合作”开办公司或者进行其它“合作”投资。</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（八）乙方不得接受甲方工作人员以投资证券、期货或者其它理财名义的委托，为实际未出资的甲方工作人员提供“收益”，或者甲方工作人员虽然实际出资，但获取“收益”明显高于出资应得的收益。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（九）乙方不得通过赌博方式行贿甲方工作人员。</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（十）乙方不得接受甲方工作人员的授意以本规定所列形式，将有关财物给予特定关系人。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（十一）乙方不得与甲方工作人员约定在其离职后行贿财物。</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(十二)乙方及其工作人员应严格按国家相关部门的规定及签订的合同办事，不得为谋取私利向采购项目相关人员非法行贿，私下串通，损害甲方利益。</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(十三)乙方如果发现甲方工作人员或采购项目相关人员有违反廉洁规定的行为，应向甲方纪检监察部门或上级单位举报。甲方的举报部门为监察部门。</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第四条 违约责任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一)甲方及其工作人员违反本合同第一条及第二条的，按照《中国共产党纪律处分条例》和甲方有关规章制度进行责任追究。情节较轻的，进行批评教育或者责令其作出检查；情节较重的或者造成恶劣影响的，给予相应的党纪政纪处分、组织处理；涉嫌犯罪的，移交司法机关追究刑事责任。给乙方单位造成经济损失的，应予以赔偿。 </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二）乙方及其工作人员违反本合同第一条及第三条的，对其列入行业“黑名单”，涉嫌犯罪的，移交司法机关追究刑事责任。乙方给甲方造成经济损失的优先从履约保证金中扣除，未设立履约保证金的从应付款中扣除。</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第五条 本合同自签订之日起生效。</w:t>
      </w:r>
    </w:p>
    <w:p>
      <w:pPr>
        <w:widowControl/>
        <w:autoSpaceDE w:val="0"/>
        <w:autoSpaceDN w:val="0"/>
        <w:spacing w:line="400" w:lineRule="exact"/>
        <w:ind w:right="53" w:firstLine="480" w:firstLineChars="200"/>
        <w:textAlignment w:val="bottom"/>
        <w:rPr>
          <w:rFonts w:hint="eastAsia" w:ascii="宋体" w:hAnsi="宋体" w:cs="宋体"/>
          <w:sz w:val="24"/>
        </w:rPr>
      </w:pPr>
    </w:p>
    <w:p>
      <w:pPr>
        <w:pStyle w:val="16"/>
        <w:rPr>
          <w:rFonts w:hint="eastAsia"/>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甲 方（签章）：               乙 方（签字盖章）：</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法定代表人                   </w:t>
      </w:r>
      <w:r>
        <w:rPr>
          <w:rFonts w:hint="eastAsia" w:ascii="宋体" w:hAnsi="宋体" w:cs="宋体"/>
          <w:sz w:val="24"/>
          <w:lang w:val="en-US" w:eastAsia="zh-CN"/>
        </w:rPr>
        <w:t xml:space="preserve"> </w:t>
      </w:r>
      <w:r>
        <w:rPr>
          <w:rFonts w:hint="eastAsia" w:ascii="宋体" w:hAnsi="宋体" w:cs="宋体"/>
          <w:sz w:val="24"/>
        </w:rPr>
        <w:t>法定代表人</w:t>
      </w: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 xml:space="preserve">或委托代理人：               </w:t>
      </w:r>
      <w:r>
        <w:rPr>
          <w:rFonts w:hint="eastAsia" w:ascii="宋体" w:hAnsi="宋体" w:cs="宋体"/>
          <w:sz w:val="24"/>
          <w:lang w:val="en-US" w:eastAsia="zh-CN"/>
        </w:rPr>
        <w:t xml:space="preserve"> </w:t>
      </w:r>
      <w:r>
        <w:rPr>
          <w:rFonts w:hint="eastAsia" w:ascii="宋体" w:hAnsi="宋体" w:cs="宋体"/>
          <w:sz w:val="24"/>
        </w:rPr>
        <w:t xml:space="preserve">或委托代理人： </w:t>
      </w:r>
    </w:p>
    <w:p>
      <w:pPr>
        <w:widowControl/>
        <w:autoSpaceDE w:val="0"/>
        <w:autoSpaceDN w:val="0"/>
        <w:spacing w:line="400" w:lineRule="exact"/>
        <w:ind w:right="53" w:firstLine="480" w:firstLineChars="200"/>
        <w:textAlignment w:val="bottom"/>
        <w:rPr>
          <w:rFonts w:hint="eastAsia" w:ascii="宋体" w:hAnsi="宋体" w:cs="宋体"/>
          <w:sz w:val="24"/>
        </w:rPr>
      </w:pPr>
    </w:p>
    <w:p>
      <w:pPr>
        <w:widowControl/>
        <w:autoSpaceDE w:val="0"/>
        <w:autoSpaceDN w:val="0"/>
        <w:spacing w:line="400" w:lineRule="exact"/>
        <w:ind w:right="53" w:firstLine="480" w:firstLineChars="200"/>
        <w:textAlignment w:val="bottom"/>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 xml:space="preserve"> 年 月 日                </w:t>
      </w:r>
      <w:r>
        <w:rPr>
          <w:rFonts w:hint="eastAsia" w:ascii="宋体" w:hAnsi="宋体" w:cs="宋体"/>
          <w:sz w:val="24"/>
          <w:lang w:val="en-US" w:eastAsia="zh-CN"/>
        </w:rPr>
        <w:t xml:space="preserve"> </w:t>
      </w: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 xml:space="preserve"> 年 月 日</w:t>
      </w:r>
    </w:p>
    <w:sectPr>
      <w:footerReference r:id="rId6" w:type="default"/>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 xml:space="preserve"> </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rMLzsEBAACNAwAADgAAAGRycy9lMm9Eb2MueG1srVPBjtMwEL0j8Q+W&#10;79TZCqE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vSzy&#10;9BFryrqPlJeHNzCU1NmP5CysB5N8+RIfRnES93QVVw+ZqfJotVytKgopil0uhCMenseE+a0Gz4rR&#10;8ETTG0WVx/eYp9RLSqkW4M46R35Zu/CXgzCLR5Tepx6LlYfdMDe+g/ZEfHoafMMD7Tln7l0gXcuO&#10;XIx0MXazUWpgfH3IVHjsp6BOUHMxmtLIaN6osgZ/3sesh79o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jrMLzsEBAACNAwAADgAAAAAAAAABACAAAAAeAQAAZHJzL2Uyb0RvYy54bWxQSwUG&#10;AAAAAAYABgBZAQAAUQ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QUX9MIBAACN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0FF/TCAQAAjQMAAA4AAAAAAAAAAQAgAAAAHgEAAGRycy9lMm9Eb2MueG1sUEsF&#10;BgAAAAAGAAYAWQEAAFI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5722A"/>
    <w:multiLevelType w:val="singleLevel"/>
    <w:tmpl w:val="A4A5722A"/>
    <w:lvl w:ilvl="0" w:tentative="0">
      <w:start w:val="4"/>
      <w:numFmt w:val="chineseCounting"/>
      <w:suff w:val="space"/>
      <w:lvlText w:val="第%1章"/>
      <w:lvlJc w:val="left"/>
      <w:rPr>
        <w:rFonts w:hint="eastAsia"/>
      </w:rPr>
    </w:lvl>
  </w:abstractNum>
  <w:abstractNum w:abstractNumId="1">
    <w:nsid w:val="DB6C80C0"/>
    <w:multiLevelType w:val="singleLevel"/>
    <w:tmpl w:val="DB6C80C0"/>
    <w:lvl w:ilvl="0" w:tentative="0">
      <w:start w:val="3"/>
      <w:numFmt w:val="chineseCounting"/>
      <w:suff w:val="nothing"/>
      <w:lvlText w:val="（%1）"/>
      <w:lvlJc w:val="left"/>
      <w:rPr>
        <w:rFonts w:hint="eastAsia"/>
      </w:rPr>
    </w:lvl>
  </w:abstractNum>
  <w:abstractNum w:abstractNumId="2">
    <w:nsid w:val="F63149F0"/>
    <w:multiLevelType w:val="singleLevel"/>
    <w:tmpl w:val="F63149F0"/>
    <w:lvl w:ilvl="0" w:tentative="0">
      <w:start w:val="29"/>
      <w:numFmt w:val="decimal"/>
      <w:suff w:val="space"/>
      <w:lvlText w:val="%1."/>
      <w:lvlJc w:val="left"/>
    </w:lvl>
  </w:abstractNum>
  <w:abstractNum w:abstractNumId="3">
    <w:nsid w:val="0000000F"/>
    <w:multiLevelType w:val="multilevel"/>
    <w:tmpl w:val="0000000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GJhZjZiYTViNTllMWZmNDUxMjk2MGU5ZWJmMzgifQ=="/>
  </w:docVars>
  <w:rsids>
    <w:rsidRoot w:val="00172A27"/>
    <w:rsid w:val="0002123D"/>
    <w:rsid w:val="00050D79"/>
    <w:rsid w:val="00051D70"/>
    <w:rsid w:val="00053325"/>
    <w:rsid w:val="00054075"/>
    <w:rsid w:val="000600CE"/>
    <w:rsid w:val="00063F49"/>
    <w:rsid w:val="00072756"/>
    <w:rsid w:val="00074A7C"/>
    <w:rsid w:val="0007604E"/>
    <w:rsid w:val="00081675"/>
    <w:rsid w:val="00084EC1"/>
    <w:rsid w:val="000A2229"/>
    <w:rsid w:val="000B478F"/>
    <w:rsid w:val="000C517C"/>
    <w:rsid w:val="000D1086"/>
    <w:rsid w:val="000D45C1"/>
    <w:rsid w:val="000E31C7"/>
    <w:rsid w:val="000E6A62"/>
    <w:rsid w:val="00105F98"/>
    <w:rsid w:val="00112E3A"/>
    <w:rsid w:val="001169C9"/>
    <w:rsid w:val="00123C23"/>
    <w:rsid w:val="001467E1"/>
    <w:rsid w:val="001522E0"/>
    <w:rsid w:val="00165189"/>
    <w:rsid w:val="0016739A"/>
    <w:rsid w:val="00172A27"/>
    <w:rsid w:val="00193207"/>
    <w:rsid w:val="0019595E"/>
    <w:rsid w:val="001A6D98"/>
    <w:rsid w:val="001B541B"/>
    <w:rsid w:val="001C7FF9"/>
    <w:rsid w:val="001E54DD"/>
    <w:rsid w:val="001F42EC"/>
    <w:rsid w:val="0020243A"/>
    <w:rsid w:val="0023786B"/>
    <w:rsid w:val="00241F19"/>
    <w:rsid w:val="00255D11"/>
    <w:rsid w:val="00257186"/>
    <w:rsid w:val="00264991"/>
    <w:rsid w:val="0026643D"/>
    <w:rsid w:val="00276C3C"/>
    <w:rsid w:val="002A6369"/>
    <w:rsid w:val="002B097B"/>
    <w:rsid w:val="002B3CC2"/>
    <w:rsid w:val="002B4E8F"/>
    <w:rsid w:val="002C6CEE"/>
    <w:rsid w:val="002F7D7C"/>
    <w:rsid w:val="00310551"/>
    <w:rsid w:val="0033113D"/>
    <w:rsid w:val="0034658A"/>
    <w:rsid w:val="00383A26"/>
    <w:rsid w:val="003858C6"/>
    <w:rsid w:val="00393C4D"/>
    <w:rsid w:val="00397544"/>
    <w:rsid w:val="003A0BA6"/>
    <w:rsid w:val="003A1503"/>
    <w:rsid w:val="003A3F56"/>
    <w:rsid w:val="003B07A3"/>
    <w:rsid w:val="003B4272"/>
    <w:rsid w:val="003B775E"/>
    <w:rsid w:val="003C2257"/>
    <w:rsid w:val="003E1B75"/>
    <w:rsid w:val="003F5292"/>
    <w:rsid w:val="00401853"/>
    <w:rsid w:val="00401D8A"/>
    <w:rsid w:val="004157A0"/>
    <w:rsid w:val="00420CB3"/>
    <w:rsid w:val="004226E6"/>
    <w:rsid w:val="00427E0B"/>
    <w:rsid w:val="0043213B"/>
    <w:rsid w:val="004606D2"/>
    <w:rsid w:val="00495DC4"/>
    <w:rsid w:val="004979BD"/>
    <w:rsid w:val="004A2DC1"/>
    <w:rsid w:val="004A65F8"/>
    <w:rsid w:val="004B01EF"/>
    <w:rsid w:val="004B1D3A"/>
    <w:rsid w:val="004D1019"/>
    <w:rsid w:val="004D2E66"/>
    <w:rsid w:val="004E1A2E"/>
    <w:rsid w:val="004E299D"/>
    <w:rsid w:val="004F0D0C"/>
    <w:rsid w:val="004F3EB9"/>
    <w:rsid w:val="005041BF"/>
    <w:rsid w:val="005142F2"/>
    <w:rsid w:val="00536A27"/>
    <w:rsid w:val="00552E71"/>
    <w:rsid w:val="00575C8D"/>
    <w:rsid w:val="005B7799"/>
    <w:rsid w:val="005C0A18"/>
    <w:rsid w:val="005C1927"/>
    <w:rsid w:val="005C43B9"/>
    <w:rsid w:val="005C5DF6"/>
    <w:rsid w:val="005D555A"/>
    <w:rsid w:val="005E54B0"/>
    <w:rsid w:val="00606B5F"/>
    <w:rsid w:val="00612C5A"/>
    <w:rsid w:val="0064333F"/>
    <w:rsid w:val="00663DEE"/>
    <w:rsid w:val="00664F23"/>
    <w:rsid w:val="00672AD2"/>
    <w:rsid w:val="0067679E"/>
    <w:rsid w:val="00677367"/>
    <w:rsid w:val="00685EEB"/>
    <w:rsid w:val="006A3A89"/>
    <w:rsid w:val="006B0435"/>
    <w:rsid w:val="006E3811"/>
    <w:rsid w:val="006F63DD"/>
    <w:rsid w:val="00704B6B"/>
    <w:rsid w:val="00712BAA"/>
    <w:rsid w:val="00716D05"/>
    <w:rsid w:val="00717188"/>
    <w:rsid w:val="0072321B"/>
    <w:rsid w:val="007544DD"/>
    <w:rsid w:val="00754AF7"/>
    <w:rsid w:val="00771857"/>
    <w:rsid w:val="00782E06"/>
    <w:rsid w:val="0078622A"/>
    <w:rsid w:val="0079086C"/>
    <w:rsid w:val="00791158"/>
    <w:rsid w:val="007914D4"/>
    <w:rsid w:val="0079296D"/>
    <w:rsid w:val="007B66C3"/>
    <w:rsid w:val="007D03DB"/>
    <w:rsid w:val="00800205"/>
    <w:rsid w:val="0080089E"/>
    <w:rsid w:val="0080614C"/>
    <w:rsid w:val="00823163"/>
    <w:rsid w:val="00830320"/>
    <w:rsid w:val="00832530"/>
    <w:rsid w:val="00855E4E"/>
    <w:rsid w:val="00861655"/>
    <w:rsid w:val="00864C15"/>
    <w:rsid w:val="008934B7"/>
    <w:rsid w:val="008A0724"/>
    <w:rsid w:val="008B40D6"/>
    <w:rsid w:val="008C33F8"/>
    <w:rsid w:val="008E4112"/>
    <w:rsid w:val="00906EAC"/>
    <w:rsid w:val="009117BC"/>
    <w:rsid w:val="00914D50"/>
    <w:rsid w:val="0092293D"/>
    <w:rsid w:val="00926D1E"/>
    <w:rsid w:val="0095378D"/>
    <w:rsid w:val="009559D5"/>
    <w:rsid w:val="009611CD"/>
    <w:rsid w:val="00971FAE"/>
    <w:rsid w:val="00973DC0"/>
    <w:rsid w:val="00976713"/>
    <w:rsid w:val="00977A05"/>
    <w:rsid w:val="0098014E"/>
    <w:rsid w:val="009935E9"/>
    <w:rsid w:val="0099729D"/>
    <w:rsid w:val="009A404A"/>
    <w:rsid w:val="009B4B61"/>
    <w:rsid w:val="009B617E"/>
    <w:rsid w:val="009C6373"/>
    <w:rsid w:val="009D210E"/>
    <w:rsid w:val="009E7D29"/>
    <w:rsid w:val="009F4971"/>
    <w:rsid w:val="009F54A9"/>
    <w:rsid w:val="00A2159C"/>
    <w:rsid w:val="00A33AE7"/>
    <w:rsid w:val="00A666AE"/>
    <w:rsid w:val="00A72C5F"/>
    <w:rsid w:val="00A7340C"/>
    <w:rsid w:val="00A73EA6"/>
    <w:rsid w:val="00A92797"/>
    <w:rsid w:val="00AA1E2C"/>
    <w:rsid w:val="00AA2049"/>
    <w:rsid w:val="00AC26E1"/>
    <w:rsid w:val="00AD5C76"/>
    <w:rsid w:val="00AE7EB8"/>
    <w:rsid w:val="00AF1ADC"/>
    <w:rsid w:val="00B07D77"/>
    <w:rsid w:val="00B2230E"/>
    <w:rsid w:val="00B46C6E"/>
    <w:rsid w:val="00B678BC"/>
    <w:rsid w:val="00B7388B"/>
    <w:rsid w:val="00B911D6"/>
    <w:rsid w:val="00B97A3E"/>
    <w:rsid w:val="00BC31DC"/>
    <w:rsid w:val="00BC59BF"/>
    <w:rsid w:val="00BF37FF"/>
    <w:rsid w:val="00BF4444"/>
    <w:rsid w:val="00BF4F27"/>
    <w:rsid w:val="00C01717"/>
    <w:rsid w:val="00C1204C"/>
    <w:rsid w:val="00C301C8"/>
    <w:rsid w:val="00C4271C"/>
    <w:rsid w:val="00C63B96"/>
    <w:rsid w:val="00C777CD"/>
    <w:rsid w:val="00C83E74"/>
    <w:rsid w:val="00C87B24"/>
    <w:rsid w:val="00C95595"/>
    <w:rsid w:val="00CA0D57"/>
    <w:rsid w:val="00CB03FC"/>
    <w:rsid w:val="00CE7179"/>
    <w:rsid w:val="00CF3512"/>
    <w:rsid w:val="00CF5A68"/>
    <w:rsid w:val="00CF6916"/>
    <w:rsid w:val="00CF72B8"/>
    <w:rsid w:val="00D00123"/>
    <w:rsid w:val="00D022C8"/>
    <w:rsid w:val="00D179E8"/>
    <w:rsid w:val="00D21AC5"/>
    <w:rsid w:val="00D23CB4"/>
    <w:rsid w:val="00D2461E"/>
    <w:rsid w:val="00D24BEB"/>
    <w:rsid w:val="00D32B2E"/>
    <w:rsid w:val="00D3374D"/>
    <w:rsid w:val="00D43247"/>
    <w:rsid w:val="00D50029"/>
    <w:rsid w:val="00D61214"/>
    <w:rsid w:val="00D86213"/>
    <w:rsid w:val="00D87DFE"/>
    <w:rsid w:val="00D953D7"/>
    <w:rsid w:val="00DA3072"/>
    <w:rsid w:val="00DE1AD9"/>
    <w:rsid w:val="00DE4F0F"/>
    <w:rsid w:val="00DF0126"/>
    <w:rsid w:val="00DF18D2"/>
    <w:rsid w:val="00DF7403"/>
    <w:rsid w:val="00DF7961"/>
    <w:rsid w:val="00E077E3"/>
    <w:rsid w:val="00E07ADE"/>
    <w:rsid w:val="00E12C07"/>
    <w:rsid w:val="00E14E96"/>
    <w:rsid w:val="00E21593"/>
    <w:rsid w:val="00E26BC4"/>
    <w:rsid w:val="00E303D8"/>
    <w:rsid w:val="00E5219A"/>
    <w:rsid w:val="00E5259D"/>
    <w:rsid w:val="00E607FB"/>
    <w:rsid w:val="00E70454"/>
    <w:rsid w:val="00E713C5"/>
    <w:rsid w:val="00E75D86"/>
    <w:rsid w:val="00E86265"/>
    <w:rsid w:val="00EC0106"/>
    <w:rsid w:val="00EC5C90"/>
    <w:rsid w:val="00ED64A5"/>
    <w:rsid w:val="00F06563"/>
    <w:rsid w:val="00F220C0"/>
    <w:rsid w:val="00F25A6E"/>
    <w:rsid w:val="00F30F1E"/>
    <w:rsid w:val="00F414A3"/>
    <w:rsid w:val="00F4180E"/>
    <w:rsid w:val="00F55614"/>
    <w:rsid w:val="00F5653E"/>
    <w:rsid w:val="00F63F08"/>
    <w:rsid w:val="00F83563"/>
    <w:rsid w:val="00F9044B"/>
    <w:rsid w:val="00F91284"/>
    <w:rsid w:val="00FA4964"/>
    <w:rsid w:val="00FD0B02"/>
    <w:rsid w:val="00FD2FF5"/>
    <w:rsid w:val="00FD5E46"/>
    <w:rsid w:val="00FD7CE5"/>
    <w:rsid w:val="00FE2005"/>
    <w:rsid w:val="00FE435C"/>
    <w:rsid w:val="010E6663"/>
    <w:rsid w:val="012039C0"/>
    <w:rsid w:val="012070F5"/>
    <w:rsid w:val="012B4DE4"/>
    <w:rsid w:val="012C713D"/>
    <w:rsid w:val="01316321"/>
    <w:rsid w:val="01336E5A"/>
    <w:rsid w:val="01376C5D"/>
    <w:rsid w:val="01392109"/>
    <w:rsid w:val="01490D93"/>
    <w:rsid w:val="014F79E6"/>
    <w:rsid w:val="01691845"/>
    <w:rsid w:val="017236B9"/>
    <w:rsid w:val="01754562"/>
    <w:rsid w:val="017C160A"/>
    <w:rsid w:val="017C4234"/>
    <w:rsid w:val="017C47D0"/>
    <w:rsid w:val="017E65C4"/>
    <w:rsid w:val="018756BB"/>
    <w:rsid w:val="019F4F73"/>
    <w:rsid w:val="01B6228B"/>
    <w:rsid w:val="01C57F21"/>
    <w:rsid w:val="01CD712A"/>
    <w:rsid w:val="01CF5560"/>
    <w:rsid w:val="01D56FB4"/>
    <w:rsid w:val="01DB2540"/>
    <w:rsid w:val="01DB4B59"/>
    <w:rsid w:val="01DE6F73"/>
    <w:rsid w:val="01E72398"/>
    <w:rsid w:val="01F05D50"/>
    <w:rsid w:val="01F360FB"/>
    <w:rsid w:val="01F423CA"/>
    <w:rsid w:val="01F70592"/>
    <w:rsid w:val="01F76EC9"/>
    <w:rsid w:val="020D33A8"/>
    <w:rsid w:val="020F18DB"/>
    <w:rsid w:val="02287722"/>
    <w:rsid w:val="02307745"/>
    <w:rsid w:val="02362341"/>
    <w:rsid w:val="02490101"/>
    <w:rsid w:val="025E4621"/>
    <w:rsid w:val="02612DC0"/>
    <w:rsid w:val="0266448A"/>
    <w:rsid w:val="026B4E74"/>
    <w:rsid w:val="027A779E"/>
    <w:rsid w:val="027C3F2F"/>
    <w:rsid w:val="02830822"/>
    <w:rsid w:val="028A5FCA"/>
    <w:rsid w:val="0290685F"/>
    <w:rsid w:val="02977A9A"/>
    <w:rsid w:val="029823C7"/>
    <w:rsid w:val="029C7D3B"/>
    <w:rsid w:val="02A3480E"/>
    <w:rsid w:val="02A526DF"/>
    <w:rsid w:val="02A75BFD"/>
    <w:rsid w:val="02AA5A9D"/>
    <w:rsid w:val="02BD0495"/>
    <w:rsid w:val="02BF77B7"/>
    <w:rsid w:val="02C90460"/>
    <w:rsid w:val="02D11E28"/>
    <w:rsid w:val="02E60E25"/>
    <w:rsid w:val="02E837F2"/>
    <w:rsid w:val="02F62D18"/>
    <w:rsid w:val="02F9539B"/>
    <w:rsid w:val="0301649F"/>
    <w:rsid w:val="03161EBE"/>
    <w:rsid w:val="03176230"/>
    <w:rsid w:val="032203CF"/>
    <w:rsid w:val="03223BE6"/>
    <w:rsid w:val="03280AFE"/>
    <w:rsid w:val="032C440B"/>
    <w:rsid w:val="032E2824"/>
    <w:rsid w:val="03353FBD"/>
    <w:rsid w:val="03377A45"/>
    <w:rsid w:val="033C5B06"/>
    <w:rsid w:val="033E6ABD"/>
    <w:rsid w:val="03430300"/>
    <w:rsid w:val="034474E0"/>
    <w:rsid w:val="0345536A"/>
    <w:rsid w:val="034A0BCE"/>
    <w:rsid w:val="034E2490"/>
    <w:rsid w:val="03506CD8"/>
    <w:rsid w:val="03550AE7"/>
    <w:rsid w:val="035D1100"/>
    <w:rsid w:val="03632FBC"/>
    <w:rsid w:val="03643D8E"/>
    <w:rsid w:val="0369247A"/>
    <w:rsid w:val="037F3B23"/>
    <w:rsid w:val="03841364"/>
    <w:rsid w:val="038C70E5"/>
    <w:rsid w:val="03A71924"/>
    <w:rsid w:val="03AA1140"/>
    <w:rsid w:val="03AD5C99"/>
    <w:rsid w:val="03C9165C"/>
    <w:rsid w:val="03CE40F8"/>
    <w:rsid w:val="03D14219"/>
    <w:rsid w:val="03D8646A"/>
    <w:rsid w:val="03DC690A"/>
    <w:rsid w:val="03DE26B7"/>
    <w:rsid w:val="03F1499F"/>
    <w:rsid w:val="03FA1D13"/>
    <w:rsid w:val="0400501F"/>
    <w:rsid w:val="04017705"/>
    <w:rsid w:val="04040187"/>
    <w:rsid w:val="04130B3F"/>
    <w:rsid w:val="04136A3E"/>
    <w:rsid w:val="041E6ADE"/>
    <w:rsid w:val="042175B5"/>
    <w:rsid w:val="04260670"/>
    <w:rsid w:val="04330C9E"/>
    <w:rsid w:val="04340816"/>
    <w:rsid w:val="04354CB4"/>
    <w:rsid w:val="043D2AC8"/>
    <w:rsid w:val="04471759"/>
    <w:rsid w:val="04550D9E"/>
    <w:rsid w:val="0456596B"/>
    <w:rsid w:val="045E16A2"/>
    <w:rsid w:val="046F7D07"/>
    <w:rsid w:val="047503F9"/>
    <w:rsid w:val="047E09E5"/>
    <w:rsid w:val="048960A1"/>
    <w:rsid w:val="048B4A64"/>
    <w:rsid w:val="048E409C"/>
    <w:rsid w:val="04902557"/>
    <w:rsid w:val="049314DF"/>
    <w:rsid w:val="049B0E1B"/>
    <w:rsid w:val="04A5004D"/>
    <w:rsid w:val="04B1121A"/>
    <w:rsid w:val="04D02F04"/>
    <w:rsid w:val="04D178CA"/>
    <w:rsid w:val="04D42488"/>
    <w:rsid w:val="04D55936"/>
    <w:rsid w:val="04D62AC8"/>
    <w:rsid w:val="04D72CAB"/>
    <w:rsid w:val="04D85E1C"/>
    <w:rsid w:val="04DC2112"/>
    <w:rsid w:val="04E601F9"/>
    <w:rsid w:val="04E7133D"/>
    <w:rsid w:val="04EC461C"/>
    <w:rsid w:val="04FB77AC"/>
    <w:rsid w:val="04FE66A2"/>
    <w:rsid w:val="05012741"/>
    <w:rsid w:val="050945D4"/>
    <w:rsid w:val="05132E3A"/>
    <w:rsid w:val="0520729C"/>
    <w:rsid w:val="05262353"/>
    <w:rsid w:val="05270D5F"/>
    <w:rsid w:val="05336DC4"/>
    <w:rsid w:val="05360EF5"/>
    <w:rsid w:val="05362D6E"/>
    <w:rsid w:val="0537451B"/>
    <w:rsid w:val="05381DBF"/>
    <w:rsid w:val="053A6EF9"/>
    <w:rsid w:val="053B1AFE"/>
    <w:rsid w:val="054A5485"/>
    <w:rsid w:val="055F653F"/>
    <w:rsid w:val="056116E7"/>
    <w:rsid w:val="05626612"/>
    <w:rsid w:val="05655536"/>
    <w:rsid w:val="057B5D6E"/>
    <w:rsid w:val="05852687"/>
    <w:rsid w:val="05897F17"/>
    <w:rsid w:val="058D054F"/>
    <w:rsid w:val="059D43C6"/>
    <w:rsid w:val="05B45278"/>
    <w:rsid w:val="05C25FAF"/>
    <w:rsid w:val="05C53232"/>
    <w:rsid w:val="05CE083B"/>
    <w:rsid w:val="05EE5CDD"/>
    <w:rsid w:val="05F0490C"/>
    <w:rsid w:val="05F54321"/>
    <w:rsid w:val="060A4CEA"/>
    <w:rsid w:val="061056ED"/>
    <w:rsid w:val="06133383"/>
    <w:rsid w:val="061D1130"/>
    <w:rsid w:val="06233C4D"/>
    <w:rsid w:val="063233E4"/>
    <w:rsid w:val="06357B5B"/>
    <w:rsid w:val="06387B64"/>
    <w:rsid w:val="06481028"/>
    <w:rsid w:val="065B233A"/>
    <w:rsid w:val="065E3049"/>
    <w:rsid w:val="0666230A"/>
    <w:rsid w:val="06674B72"/>
    <w:rsid w:val="066D5A6A"/>
    <w:rsid w:val="06700CB9"/>
    <w:rsid w:val="06783B21"/>
    <w:rsid w:val="068A3096"/>
    <w:rsid w:val="069165CE"/>
    <w:rsid w:val="06963AAF"/>
    <w:rsid w:val="06A1207C"/>
    <w:rsid w:val="06A46242"/>
    <w:rsid w:val="06AB64E1"/>
    <w:rsid w:val="06B27F0D"/>
    <w:rsid w:val="06B7442C"/>
    <w:rsid w:val="06B758FD"/>
    <w:rsid w:val="06BA777F"/>
    <w:rsid w:val="06BE6C1F"/>
    <w:rsid w:val="06CA0F2B"/>
    <w:rsid w:val="06D47D7F"/>
    <w:rsid w:val="06DA39D7"/>
    <w:rsid w:val="06DB1EBD"/>
    <w:rsid w:val="06DD3943"/>
    <w:rsid w:val="06E17713"/>
    <w:rsid w:val="06EC6136"/>
    <w:rsid w:val="06F119A5"/>
    <w:rsid w:val="06F51611"/>
    <w:rsid w:val="06F56059"/>
    <w:rsid w:val="06FB646D"/>
    <w:rsid w:val="06FC2675"/>
    <w:rsid w:val="0703037F"/>
    <w:rsid w:val="070A4CDD"/>
    <w:rsid w:val="07221BFF"/>
    <w:rsid w:val="072269B6"/>
    <w:rsid w:val="07307E85"/>
    <w:rsid w:val="07317635"/>
    <w:rsid w:val="073E19AF"/>
    <w:rsid w:val="07411585"/>
    <w:rsid w:val="07571631"/>
    <w:rsid w:val="075A0546"/>
    <w:rsid w:val="075C01F8"/>
    <w:rsid w:val="07652BB7"/>
    <w:rsid w:val="07835813"/>
    <w:rsid w:val="07892CA3"/>
    <w:rsid w:val="079303BA"/>
    <w:rsid w:val="07955B5C"/>
    <w:rsid w:val="07965B8C"/>
    <w:rsid w:val="079804DC"/>
    <w:rsid w:val="079F0748"/>
    <w:rsid w:val="07A1263B"/>
    <w:rsid w:val="07A8192F"/>
    <w:rsid w:val="07AE6CFF"/>
    <w:rsid w:val="07B96601"/>
    <w:rsid w:val="07C534C0"/>
    <w:rsid w:val="07CC12BD"/>
    <w:rsid w:val="07D07581"/>
    <w:rsid w:val="07E522A0"/>
    <w:rsid w:val="07E95BCB"/>
    <w:rsid w:val="07ED2DBA"/>
    <w:rsid w:val="07F81222"/>
    <w:rsid w:val="0802168B"/>
    <w:rsid w:val="080445F3"/>
    <w:rsid w:val="080E6882"/>
    <w:rsid w:val="08290269"/>
    <w:rsid w:val="084113C5"/>
    <w:rsid w:val="08442D0F"/>
    <w:rsid w:val="0851279E"/>
    <w:rsid w:val="085D2647"/>
    <w:rsid w:val="085F728F"/>
    <w:rsid w:val="0865077E"/>
    <w:rsid w:val="087E0519"/>
    <w:rsid w:val="088816B2"/>
    <w:rsid w:val="088C61A1"/>
    <w:rsid w:val="088D5CDE"/>
    <w:rsid w:val="089B0576"/>
    <w:rsid w:val="089B4A5D"/>
    <w:rsid w:val="089F2975"/>
    <w:rsid w:val="089F498E"/>
    <w:rsid w:val="08A31954"/>
    <w:rsid w:val="08A36751"/>
    <w:rsid w:val="08A564CE"/>
    <w:rsid w:val="08A63DEF"/>
    <w:rsid w:val="08AE63FF"/>
    <w:rsid w:val="08B84A15"/>
    <w:rsid w:val="08BD0492"/>
    <w:rsid w:val="08C23A9B"/>
    <w:rsid w:val="08C81A2B"/>
    <w:rsid w:val="08C87D7F"/>
    <w:rsid w:val="08D11BE3"/>
    <w:rsid w:val="08D44817"/>
    <w:rsid w:val="08DD0505"/>
    <w:rsid w:val="08DD3800"/>
    <w:rsid w:val="08DF736A"/>
    <w:rsid w:val="08F13711"/>
    <w:rsid w:val="08FD180E"/>
    <w:rsid w:val="09200C9A"/>
    <w:rsid w:val="092743A1"/>
    <w:rsid w:val="09433C08"/>
    <w:rsid w:val="09530A4F"/>
    <w:rsid w:val="095E205F"/>
    <w:rsid w:val="09647F96"/>
    <w:rsid w:val="097911A0"/>
    <w:rsid w:val="097B1BC8"/>
    <w:rsid w:val="097E3076"/>
    <w:rsid w:val="097F6742"/>
    <w:rsid w:val="09906F4F"/>
    <w:rsid w:val="09A22C25"/>
    <w:rsid w:val="09AD1926"/>
    <w:rsid w:val="09B74E11"/>
    <w:rsid w:val="09C16D52"/>
    <w:rsid w:val="09C83004"/>
    <w:rsid w:val="09CC51CF"/>
    <w:rsid w:val="09CE71BA"/>
    <w:rsid w:val="09CF05B5"/>
    <w:rsid w:val="09D4292D"/>
    <w:rsid w:val="09D50CE1"/>
    <w:rsid w:val="09DB161D"/>
    <w:rsid w:val="09DE4F74"/>
    <w:rsid w:val="09E4409E"/>
    <w:rsid w:val="09EC3CC1"/>
    <w:rsid w:val="09ED3A15"/>
    <w:rsid w:val="09F224E3"/>
    <w:rsid w:val="09F72247"/>
    <w:rsid w:val="09F74F29"/>
    <w:rsid w:val="0A1435BB"/>
    <w:rsid w:val="0A1876B9"/>
    <w:rsid w:val="0A2232F1"/>
    <w:rsid w:val="0A331882"/>
    <w:rsid w:val="0A437BD5"/>
    <w:rsid w:val="0A5660CF"/>
    <w:rsid w:val="0A58252F"/>
    <w:rsid w:val="0A582A58"/>
    <w:rsid w:val="0A58506D"/>
    <w:rsid w:val="0A626E44"/>
    <w:rsid w:val="0A646E36"/>
    <w:rsid w:val="0A654E89"/>
    <w:rsid w:val="0A660E67"/>
    <w:rsid w:val="0A695796"/>
    <w:rsid w:val="0A6A60FD"/>
    <w:rsid w:val="0A717CBE"/>
    <w:rsid w:val="0A8148A8"/>
    <w:rsid w:val="0A856611"/>
    <w:rsid w:val="0A863FF6"/>
    <w:rsid w:val="0A972421"/>
    <w:rsid w:val="0A9B7DA6"/>
    <w:rsid w:val="0A9D4EF2"/>
    <w:rsid w:val="0A9E1F32"/>
    <w:rsid w:val="0A9E5860"/>
    <w:rsid w:val="0AAD02B4"/>
    <w:rsid w:val="0ABA41E5"/>
    <w:rsid w:val="0ABF1F0C"/>
    <w:rsid w:val="0AC36A29"/>
    <w:rsid w:val="0AC54383"/>
    <w:rsid w:val="0ACC1B5E"/>
    <w:rsid w:val="0ADA54EF"/>
    <w:rsid w:val="0AF5481E"/>
    <w:rsid w:val="0AFC3EDB"/>
    <w:rsid w:val="0B034639"/>
    <w:rsid w:val="0B0B1DF6"/>
    <w:rsid w:val="0B291E49"/>
    <w:rsid w:val="0B2A0C7A"/>
    <w:rsid w:val="0B3059FA"/>
    <w:rsid w:val="0B307210"/>
    <w:rsid w:val="0B325EB9"/>
    <w:rsid w:val="0B374BB5"/>
    <w:rsid w:val="0B483C82"/>
    <w:rsid w:val="0B49550A"/>
    <w:rsid w:val="0B4A4DE5"/>
    <w:rsid w:val="0B522FE0"/>
    <w:rsid w:val="0B5643F4"/>
    <w:rsid w:val="0B5D251D"/>
    <w:rsid w:val="0B607147"/>
    <w:rsid w:val="0B662314"/>
    <w:rsid w:val="0B71499D"/>
    <w:rsid w:val="0B856726"/>
    <w:rsid w:val="0B8A52DC"/>
    <w:rsid w:val="0B8C2FFA"/>
    <w:rsid w:val="0B99035A"/>
    <w:rsid w:val="0B997505"/>
    <w:rsid w:val="0BAB7A01"/>
    <w:rsid w:val="0BAD4BD0"/>
    <w:rsid w:val="0BB52ECA"/>
    <w:rsid w:val="0BC070E0"/>
    <w:rsid w:val="0BC33F8A"/>
    <w:rsid w:val="0BC80A87"/>
    <w:rsid w:val="0BDD0358"/>
    <w:rsid w:val="0BE50B7F"/>
    <w:rsid w:val="0BEC3655"/>
    <w:rsid w:val="0BED62BD"/>
    <w:rsid w:val="0BFA6795"/>
    <w:rsid w:val="0BFE2F0D"/>
    <w:rsid w:val="0C071718"/>
    <w:rsid w:val="0C19010A"/>
    <w:rsid w:val="0C2522FA"/>
    <w:rsid w:val="0C26561B"/>
    <w:rsid w:val="0C2C7F53"/>
    <w:rsid w:val="0C310C6B"/>
    <w:rsid w:val="0C4D7881"/>
    <w:rsid w:val="0C5E0167"/>
    <w:rsid w:val="0C5E33DC"/>
    <w:rsid w:val="0C62601A"/>
    <w:rsid w:val="0C6F55EA"/>
    <w:rsid w:val="0C7730B0"/>
    <w:rsid w:val="0C78606A"/>
    <w:rsid w:val="0C7876D5"/>
    <w:rsid w:val="0C7A7CD9"/>
    <w:rsid w:val="0C832AD3"/>
    <w:rsid w:val="0C872A93"/>
    <w:rsid w:val="0C880989"/>
    <w:rsid w:val="0C8B6599"/>
    <w:rsid w:val="0C915698"/>
    <w:rsid w:val="0C946B8C"/>
    <w:rsid w:val="0C9947F8"/>
    <w:rsid w:val="0CA7126D"/>
    <w:rsid w:val="0CB77398"/>
    <w:rsid w:val="0CF518EF"/>
    <w:rsid w:val="0D05761B"/>
    <w:rsid w:val="0D096D92"/>
    <w:rsid w:val="0D1E5E5C"/>
    <w:rsid w:val="0D21533B"/>
    <w:rsid w:val="0D236720"/>
    <w:rsid w:val="0D271CB6"/>
    <w:rsid w:val="0D277614"/>
    <w:rsid w:val="0D3D4332"/>
    <w:rsid w:val="0D6C4A82"/>
    <w:rsid w:val="0D7F5EA5"/>
    <w:rsid w:val="0D8358BC"/>
    <w:rsid w:val="0D8D59C5"/>
    <w:rsid w:val="0D8F6E5C"/>
    <w:rsid w:val="0D942DB5"/>
    <w:rsid w:val="0D95092A"/>
    <w:rsid w:val="0D9A2DAF"/>
    <w:rsid w:val="0D9C0E60"/>
    <w:rsid w:val="0D9F5BA3"/>
    <w:rsid w:val="0DA556E2"/>
    <w:rsid w:val="0DA976E7"/>
    <w:rsid w:val="0DB801EC"/>
    <w:rsid w:val="0DB91AA4"/>
    <w:rsid w:val="0DC04726"/>
    <w:rsid w:val="0DCA199B"/>
    <w:rsid w:val="0DD744E0"/>
    <w:rsid w:val="0DE50529"/>
    <w:rsid w:val="0DEB2049"/>
    <w:rsid w:val="0DEE0B3C"/>
    <w:rsid w:val="0DEE4FF2"/>
    <w:rsid w:val="0DF148C2"/>
    <w:rsid w:val="0DF21E56"/>
    <w:rsid w:val="0DFB2DD1"/>
    <w:rsid w:val="0E0437ED"/>
    <w:rsid w:val="0E062331"/>
    <w:rsid w:val="0E096FB7"/>
    <w:rsid w:val="0E0A0808"/>
    <w:rsid w:val="0E0C7296"/>
    <w:rsid w:val="0E0E0038"/>
    <w:rsid w:val="0E107FEF"/>
    <w:rsid w:val="0E1505AE"/>
    <w:rsid w:val="0E3160A4"/>
    <w:rsid w:val="0E343BCE"/>
    <w:rsid w:val="0E390C7F"/>
    <w:rsid w:val="0E544265"/>
    <w:rsid w:val="0E552E2F"/>
    <w:rsid w:val="0E5532E0"/>
    <w:rsid w:val="0E6031B7"/>
    <w:rsid w:val="0E667923"/>
    <w:rsid w:val="0E68110C"/>
    <w:rsid w:val="0E717004"/>
    <w:rsid w:val="0E7F4F29"/>
    <w:rsid w:val="0E83725A"/>
    <w:rsid w:val="0E8C589E"/>
    <w:rsid w:val="0E90045D"/>
    <w:rsid w:val="0E97534F"/>
    <w:rsid w:val="0E9C511C"/>
    <w:rsid w:val="0E9E1BD0"/>
    <w:rsid w:val="0E9F30C6"/>
    <w:rsid w:val="0EA22D0E"/>
    <w:rsid w:val="0EBB7182"/>
    <w:rsid w:val="0EBF5EC5"/>
    <w:rsid w:val="0EC53348"/>
    <w:rsid w:val="0EC94694"/>
    <w:rsid w:val="0ECA49DA"/>
    <w:rsid w:val="0ED13760"/>
    <w:rsid w:val="0ED17212"/>
    <w:rsid w:val="0ED21DE6"/>
    <w:rsid w:val="0EDD1ADB"/>
    <w:rsid w:val="0EE04284"/>
    <w:rsid w:val="0EED0165"/>
    <w:rsid w:val="0EF413C6"/>
    <w:rsid w:val="0EFE2385"/>
    <w:rsid w:val="0EFE53A3"/>
    <w:rsid w:val="0F011499"/>
    <w:rsid w:val="0F012267"/>
    <w:rsid w:val="0F0A390F"/>
    <w:rsid w:val="0F0C22B0"/>
    <w:rsid w:val="0F0E596D"/>
    <w:rsid w:val="0F200518"/>
    <w:rsid w:val="0F2A6910"/>
    <w:rsid w:val="0F386A43"/>
    <w:rsid w:val="0F4E3977"/>
    <w:rsid w:val="0F534692"/>
    <w:rsid w:val="0F614E0D"/>
    <w:rsid w:val="0F6B5F43"/>
    <w:rsid w:val="0F6D0350"/>
    <w:rsid w:val="0F6E2766"/>
    <w:rsid w:val="0F737BA7"/>
    <w:rsid w:val="0F7A199B"/>
    <w:rsid w:val="0F7A4D15"/>
    <w:rsid w:val="0F803F2D"/>
    <w:rsid w:val="0F8634BE"/>
    <w:rsid w:val="0F953D4C"/>
    <w:rsid w:val="0F9A3CBF"/>
    <w:rsid w:val="0FA14B6E"/>
    <w:rsid w:val="0FB06773"/>
    <w:rsid w:val="0FB42127"/>
    <w:rsid w:val="0FB575E1"/>
    <w:rsid w:val="0FBB7024"/>
    <w:rsid w:val="0FBF3313"/>
    <w:rsid w:val="0FCA0CC5"/>
    <w:rsid w:val="0FE151CC"/>
    <w:rsid w:val="0FE9480E"/>
    <w:rsid w:val="0FEA1743"/>
    <w:rsid w:val="0FEF1F29"/>
    <w:rsid w:val="0FF0507D"/>
    <w:rsid w:val="10013A54"/>
    <w:rsid w:val="100F419B"/>
    <w:rsid w:val="10252A2F"/>
    <w:rsid w:val="1029306F"/>
    <w:rsid w:val="1031606C"/>
    <w:rsid w:val="10363EC3"/>
    <w:rsid w:val="10382459"/>
    <w:rsid w:val="103B1445"/>
    <w:rsid w:val="103F6284"/>
    <w:rsid w:val="1049691F"/>
    <w:rsid w:val="1050325A"/>
    <w:rsid w:val="10516A8B"/>
    <w:rsid w:val="105D6B8B"/>
    <w:rsid w:val="10622882"/>
    <w:rsid w:val="10634BF3"/>
    <w:rsid w:val="1066603B"/>
    <w:rsid w:val="106920C3"/>
    <w:rsid w:val="106B7D7F"/>
    <w:rsid w:val="106D3869"/>
    <w:rsid w:val="106D5655"/>
    <w:rsid w:val="10791742"/>
    <w:rsid w:val="108376FA"/>
    <w:rsid w:val="108848D5"/>
    <w:rsid w:val="108A0804"/>
    <w:rsid w:val="108E03F9"/>
    <w:rsid w:val="10922731"/>
    <w:rsid w:val="10927412"/>
    <w:rsid w:val="109A337B"/>
    <w:rsid w:val="109E5784"/>
    <w:rsid w:val="10A504E2"/>
    <w:rsid w:val="10A806B5"/>
    <w:rsid w:val="10AC1B04"/>
    <w:rsid w:val="10AC68CA"/>
    <w:rsid w:val="10B06930"/>
    <w:rsid w:val="10C26F0F"/>
    <w:rsid w:val="10DA2969"/>
    <w:rsid w:val="10DB295D"/>
    <w:rsid w:val="10ED5963"/>
    <w:rsid w:val="10F50457"/>
    <w:rsid w:val="10F73E77"/>
    <w:rsid w:val="11065D3B"/>
    <w:rsid w:val="110838CA"/>
    <w:rsid w:val="110A5B28"/>
    <w:rsid w:val="11113FB6"/>
    <w:rsid w:val="111F6D66"/>
    <w:rsid w:val="11220938"/>
    <w:rsid w:val="113938E2"/>
    <w:rsid w:val="11484DA9"/>
    <w:rsid w:val="114D1D8C"/>
    <w:rsid w:val="11567D52"/>
    <w:rsid w:val="115C2CE4"/>
    <w:rsid w:val="115F6326"/>
    <w:rsid w:val="11634F2F"/>
    <w:rsid w:val="116B683E"/>
    <w:rsid w:val="117454EE"/>
    <w:rsid w:val="11784FE0"/>
    <w:rsid w:val="1184656E"/>
    <w:rsid w:val="118F399F"/>
    <w:rsid w:val="11926757"/>
    <w:rsid w:val="11971F97"/>
    <w:rsid w:val="119D7F11"/>
    <w:rsid w:val="11AF3AC1"/>
    <w:rsid w:val="11B35EED"/>
    <w:rsid w:val="11BE533A"/>
    <w:rsid w:val="11C2500E"/>
    <w:rsid w:val="11C61BC3"/>
    <w:rsid w:val="11C70FED"/>
    <w:rsid w:val="11CD4F63"/>
    <w:rsid w:val="11D34FC9"/>
    <w:rsid w:val="11DE24C5"/>
    <w:rsid w:val="11EB5D6A"/>
    <w:rsid w:val="11F671CC"/>
    <w:rsid w:val="120F7818"/>
    <w:rsid w:val="12103B88"/>
    <w:rsid w:val="121712F7"/>
    <w:rsid w:val="12183779"/>
    <w:rsid w:val="122B2F3F"/>
    <w:rsid w:val="12305A0B"/>
    <w:rsid w:val="124019AB"/>
    <w:rsid w:val="12474082"/>
    <w:rsid w:val="12503711"/>
    <w:rsid w:val="126734B0"/>
    <w:rsid w:val="12674F0D"/>
    <w:rsid w:val="12677319"/>
    <w:rsid w:val="1268035A"/>
    <w:rsid w:val="126A5EA5"/>
    <w:rsid w:val="126C28E5"/>
    <w:rsid w:val="12761132"/>
    <w:rsid w:val="12784353"/>
    <w:rsid w:val="12787800"/>
    <w:rsid w:val="127E709D"/>
    <w:rsid w:val="12892626"/>
    <w:rsid w:val="129001B3"/>
    <w:rsid w:val="129B7AC7"/>
    <w:rsid w:val="12A15917"/>
    <w:rsid w:val="12A234CA"/>
    <w:rsid w:val="12AD0983"/>
    <w:rsid w:val="12AF15CF"/>
    <w:rsid w:val="12AF291A"/>
    <w:rsid w:val="12AF3CFB"/>
    <w:rsid w:val="12BD6221"/>
    <w:rsid w:val="12C62ACB"/>
    <w:rsid w:val="12C87B15"/>
    <w:rsid w:val="12C949D5"/>
    <w:rsid w:val="12D949EF"/>
    <w:rsid w:val="12DB4F04"/>
    <w:rsid w:val="12E93CC8"/>
    <w:rsid w:val="12F22645"/>
    <w:rsid w:val="12F31386"/>
    <w:rsid w:val="12F63AD5"/>
    <w:rsid w:val="130007F9"/>
    <w:rsid w:val="13041066"/>
    <w:rsid w:val="13130E26"/>
    <w:rsid w:val="13172D51"/>
    <w:rsid w:val="131761D5"/>
    <w:rsid w:val="132D2768"/>
    <w:rsid w:val="132E5EEE"/>
    <w:rsid w:val="1334168E"/>
    <w:rsid w:val="13350428"/>
    <w:rsid w:val="133614DC"/>
    <w:rsid w:val="13450104"/>
    <w:rsid w:val="13477727"/>
    <w:rsid w:val="135944B7"/>
    <w:rsid w:val="135A2418"/>
    <w:rsid w:val="136A3683"/>
    <w:rsid w:val="136B5244"/>
    <w:rsid w:val="138618C4"/>
    <w:rsid w:val="138B3799"/>
    <w:rsid w:val="138B6344"/>
    <w:rsid w:val="13A114F3"/>
    <w:rsid w:val="13AA6B99"/>
    <w:rsid w:val="13AB40E8"/>
    <w:rsid w:val="13AD4E74"/>
    <w:rsid w:val="13B82C5A"/>
    <w:rsid w:val="13BC4128"/>
    <w:rsid w:val="13D25FF8"/>
    <w:rsid w:val="13D9722C"/>
    <w:rsid w:val="13DB080C"/>
    <w:rsid w:val="13E06DEA"/>
    <w:rsid w:val="13E37984"/>
    <w:rsid w:val="13E855CE"/>
    <w:rsid w:val="140D1E80"/>
    <w:rsid w:val="141229A5"/>
    <w:rsid w:val="141443ED"/>
    <w:rsid w:val="141A1311"/>
    <w:rsid w:val="141C5BA3"/>
    <w:rsid w:val="14336611"/>
    <w:rsid w:val="143405B1"/>
    <w:rsid w:val="144A346F"/>
    <w:rsid w:val="144F6450"/>
    <w:rsid w:val="14542E43"/>
    <w:rsid w:val="146A7AFD"/>
    <w:rsid w:val="14726995"/>
    <w:rsid w:val="148A2602"/>
    <w:rsid w:val="148B2C8D"/>
    <w:rsid w:val="148C1773"/>
    <w:rsid w:val="149E13AF"/>
    <w:rsid w:val="14A032CB"/>
    <w:rsid w:val="14A66A4D"/>
    <w:rsid w:val="14A911B5"/>
    <w:rsid w:val="14B077F0"/>
    <w:rsid w:val="14B553A2"/>
    <w:rsid w:val="14BB27B4"/>
    <w:rsid w:val="14BE6043"/>
    <w:rsid w:val="14C41BD0"/>
    <w:rsid w:val="14C541D1"/>
    <w:rsid w:val="14C77D9E"/>
    <w:rsid w:val="14D315DC"/>
    <w:rsid w:val="14D34BF4"/>
    <w:rsid w:val="14D66560"/>
    <w:rsid w:val="14E708D0"/>
    <w:rsid w:val="14E75990"/>
    <w:rsid w:val="14EF650E"/>
    <w:rsid w:val="14F04DB9"/>
    <w:rsid w:val="14F13803"/>
    <w:rsid w:val="14F23E90"/>
    <w:rsid w:val="14F23F2E"/>
    <w:rsid w:val="15020B99"/>
    <w:rsid w:val="150248F5"/>
    <w:rsid w:val="15041E27"/>
    <w:rsid w:val="1504488F"/>
    <w:rsid w:val="15045600"/>
    <w:rsid w:val="15045BDC"/>
    <w:rsid w:val="150A5A8B"/>
    <w:rsid w:val="150E30D5"/>
    <w:rsid w:val="150E75EC"/>
    <w:rsid w:val="15147EB1"/>
    <w:rsid w:val="151866C9"/>
    <w:rsid w:val="152616FF"/>
    <w:rsid w:val="15296F2D"/>
    <w:rsid w:val="152B6952"/>
    <w:rsid w:val="152D3E94"/>
    <w:rsid w:val="152F153B"/>
    <w:rsid w:val="153A4BCA"/>
    <w:rsid w:val="153D1C6A"/>
    <w:rsid w:val="155034ED"/>
    <w:rsid w:val="155324C1"/>
    <w:rsid w:val="155B4D26"/>
    <w:rsid w:val="156D1BCB"/>
    <w:rsid w:val="156E7665"/>
    <w:rsid w:val="15917EC5"/>
    <w:rsid w:val="159B20E6"/>
    <w:rsid w:val="159E13DC"/>
    <w:rsid w:val="15A47435"/>
    <w:rsid w:val="15A70C1A"/>
    <w:rsid w:val="15AD69F8"/>
    <w:rsid w:val="15BA17CB"/>
    <w:rsid w:val="15D7628D"/>
    <w:rsid w:val="15D85CF1"/>
    <w:rsid w:val="15DA4594"/>
    <w:rsid w:val="15E14752"/>
    <w:rsid w:val="15F5585E"/>
    <w:rsid w:val="15FC61B9"/>
    <w:rsid w:val="160664EC"/>
    <w:rsid w:val="16077D72"/>
    <w:rsid w:val="16114040"/>
    <w:rsid w:val="1612020E"/>
    <w:rsid w:val="16200945"/>
    <w:rsid w:val="16205AE8"/>
    <w:rsid w:val="162153A3"/>
    <w:rsid w:val="162164A4"/>
    <w:rsid w:val="1622373B"/>
    <w:rsid w:val="162408FC"/>
    <w:rsid w:val="16314B8C"/>
    <w:rsid w:val="16324043"/>
    <w:rsid w:val="16345EEC"/>
    <w:rsid w:val="16410C10"/>
    <w:rsid w:val="164125DC"/>
    <w:rsid w:val="16430439"/>
    <w:rsid w:val="164428C5"/>
    <w:rsid w:val="164B53FC"/>
    <w:rsid w:val="16503E57"/>
    <w:rsid w:val="16571934"/>
    <w:rsid w:val="165D7EBC"/>
    <w:rsid w:val="166501A6"/>
    <w:rsid w:val="168379E6"/>
    <w:rsid w:val="168528DA"/>
    <w:rsid w:val="168A094C"/>
    <w:rsid w:val="16942372"/>
    <w:rsid w:val="169F3F17"/>
    <w:rsid w:val="16AD5B0F"/>
    <w:rsid w:val="16B04F88"/>
    <w:rsid w:val="16B643F2"/>
    <w:rsid w:val="16BE56D5"/>
    <w:rsid w:val="16C45FAD"/>
    <w:rsid w:val="16C9103A"/>
    <w:rsid w:val="16E55A12"/>
    <w:rsid w:val="16F34A6D"/>
    <w:rsid w:val="16F61720"/>
    <w:rsid w:val="16FE4317"/>
    <w:rsid w:val="17097B31"/>
    <w:rsid w:val="171734A0"/>
    <w:rsid w:val="171C64F5"/>
    <w:rsid w:val="171F3C08"/>
    <w:rsid w:val="171F6491"/>
    <w:rsid w:val="17296C48"/>
    <w:rsid w:val="1730706A"/>
    <w:rsid w:val="173C11B5"/>
    <w:rsid w:val="17521485"/>
    <w:rsid w:val="1753093C"/>
    <w:rsid w:val="1753184F"/>
    <w:rsid w:val="175A0F4E"/>
    <w:rsid w:val="175B0B55"/>
    <w:rsid w:val="175E66DF"/>
    <w:rsid w:val="17724F15"/>
    <w:rsid w:val="178C0D2E"/>
    <w:rsid w:val="17920773"/>
    <w:rsid w:val="17934989"/>
    <w:rsid w:val="179B4C15"/>
    <w:rsid w:val="179C5EA2"/>
    <w:rsid w:val="179F1641"/>
    <w:rsid w:val="179F61EB"/>
    <w:rsid w:val="17A13D52"/>
    <w:rsid w:val="17B2401C"/>
    <w:rsid w:val="17B84B4C"/>
    <w:rsid w:val="17BC3158"/>
    <w:rsid w:val="17C45E89"/>
    <w:rsid w:val="17CD6EE2"/>
    <w:rsid w:val="17CF3EC2"/>
    <w:rsid w:val="17D42864"/>
    <w:rsid w:val="17D53A74"/>
    <w:rsid w:val="17D65CF5"/>
    <w:rsid w:val="17D9300A"/>
    <w:rsid w:val="17E053E3"/>
    <w:rsid w:val="17E82847"/>
    <w:rsid w:val="17EF3CF5"/>
    <w:rsid w:val="180B2857"/>
    <w:rsid w:val="180C132E"/>
    <w:rsid w:val="180F41FD"/>
    <w:rsid w:val="181A32AA"/>
    <w:rsid w:val="181F1E0E"/>
    <w:rsid w:val="18275589"/>
    <w:rsid w:val="182762E3"/>
    <w:rsid w:val="182F483F"/>
    <w:rsid w:val="183152F0"/>
    <w:rsid w:val="18330BE3"/>
    <w:rsid w:val="1835423E"/>
    <w:rsid w:val="18413AF5"/>
    <w:rsid w:val="184E2D86"/>
    <w:rsid w:val="184E5F90"/>
    <w:rsid w:val="18534808"/>
    <w:rsid w:val="18674FA0"/>
    <w:rsid w:val="18745B97"/>
    <w:rsid w:val="18840A55"/>
    <w:rsid w:val="18850BD7"/>
    <w:rsid w:val="1889469B"/>
    <w:rsid w:val="189050B6"/>
    <w:rsid w:val="18907FD7"/>
    <w:rsid w:val="18AF02C8"/>
    <w:rsid w:val="18BA0DE1"/>
    <w:rsid w:val="18C0245B"/>
    <w:rsid w:val="18E05944"/>
    <w:rsid w:val="18E6757B"/>
    <w:rsid w:val="18E776C2"/>
    <w:rsid w:val="18E80FFE"/>
    <w:rsid w:val="18F12655"/>
    <w:rsid w:val="18F46C74"/>
    <w:rsid w:val="18F962FE"/>
    <w:rsid w:val="19084852"/>
    <w:rsid w:val="19097756"/>
    <w:rsid w:val="191415D1"/>
    <w:rsid w:val="191C1308"/>
    <w:rsid w:val="191E79C1"/>
    <w:rsid w:val="19423723"/>
    <w:rsid w:val="19457874"/>
    <w:rsid w:val="19496A1C"/>
    <w:rsid w:val="195841A1"/>
    <w:rsid w:val="195E7792"/>
    <w:rsid w:val="19613546"/>
    <w:rsid w:val="19650139"/>
    <w:rsid w:val="19661C07"/>
    <w:rsid w:val="196A0E6B"/>
    <w:rsid w:val="19825B41"/>
    <w:rsid w:val="1987059C"/>
    <w:rsid w:val="1989763B"/>
    <w:rsid w:val="198E63E8"/>
    <w:rsid w:val="19927914"/>
    <w:rsid w:val="199E6E0F"/>
    <w:rsid w:val="19A03BD3"/>
    <w:rsid w:val="19A34C4F"/>
    <w:rsid w:val="19A351DA"/>
    <w:rsid w:val="19A604A1"/>
    <w:rsid w:val="19AE749E"/>
    <w:rsid w:val="19AF51C4"/>
    <w:rsid w:val="19B040F7"/>
    <w:rsid w:val="19BC43DD"/>
    <w:rsid w:val="19C25FE0"/>
    <w:rsid w:val="19C46200"/>
    <w:rsid w:val="19C606E9"/>
    <w:rsid w:val="19CF7D05"/>
    <w:rsid w:val="19DD6299"/>
    <w:rsid w:val="19E70785"/>
    <w:rsid w:val="19F018CD"/>
    <w:rsid w:val="19F57E2C"/>
    <w:rsid w:val="19F742C3"/>
    <w:rsid w:val="19FF7A9A"/>
    <w:rsid w:val="1A093D17"/>
    <w:rsid w:val="1A0F1309"/>
    <w:rsid w:val="1A120720"/>
    <w:rsid w:val="1A174EE4"/>
    <w:rsid w:val="1A196EAF"/>
    <w:rsid w:val="1A1A1D0C"/>
    <w:rsid w:val="1A1D7089"/>
    <w:rsid w:val="1A207177"/>
    <w:rsid w:val="1A2909EC"/>
    <w:rsid w:val="1A2A35AF"/>
    <w:rsid w:val="1A326E7F"/>
    <w:rsid w:val="1A341EDE"/>
    <w:rsid w:val="1A345653"/>
    <w:rsid w:val="1A3A4027"/>
    <w:rsid w:val="1A41750A"/>
    <w:rsid w:val="1A446DEB"/>
    <w:rsid w:val="1A450622"/>
    <w:rsid w:val="1A45388D"/>
    <w:rsid w:val="1A46675B"/>
    <w:rsid w:val="1A5623A6"/>
    <w:rsid w:val="1A6362DC"/>
    <w:rsid w:val="1A6A2942"/>
    <w:rsid w:val="1A6D1B5B"/>
    <w:rsid w:val="1A705CC4"/>
    <w:rsid w:val="1A7247E2"/>
    <w:rsid w:val="1A866BB1"/>
    <w:rsid w:val="1A896734"/>
    <w:rsid w:val="1A8D2ED6"/>
    <w:rsid w:val="1AA5067F"/>
    <w:rsid w:val="1AA5321A"/>
    <w:rsid w:val="1AA9687C"/>
    <w:rsid w:val="1AAA3129"/>
    <w:rsid w:val="1AB56DB4"/>
    <w:rsid w:val="1AB84A56"/>
    <w:rsid w:val="1AC106F3"/>
    <w:rsid w:val="1AC3789F"/>
    <w:rsid w:val="1ACA3CB2"/>
    <w:rsid w:val="1ACA5C42"/>
    <w:rsid w:val="1AD9360C"/>
    <w:rsid w:val="1ADD0963"/>
    <w:rsid w:val="1ADF3CE8"/>
    <w:rsid w:val="1AE206C8"/>
    <w:rsid w:val="1AE67CAF"/>
    <w:rsid w:val="1AE83350"/>
    <w:rsid w:val="1AFE5EA8"/>
    <w:rsid w:val="1B026100"/>
    <w:rsid w:val="1B065ED7"/>
    <w:rsid w:val="1B08048F"/>
    <w:rsid w:val="1B084EA9"/>
    <w:rsid w:val="1B12605C"/>
    <w:rsid w:val="1B143FBE"/>
    <w:rsid w:val="1B160E0F"/>
    <w:rsid w:val="1B172F28"/>
    <w:rsid w:val="1B21492F"/>
    <w:rsid w:val="1B336C1F"/>
    <w:rsid w:val="1B3B7945"/>
    <w:rsid w:val="1B47438B"/>
    <w:rsid w:val="1B4D3CEC"/>
    <w:rsid w:val="1B53743D"/>
    <w:rsid w:val="1B5E46CC"/>
    <w:rsid w:val="1B6F2856"/>
    <w:rsid w:val="1B6F685D"/>
    <w:rsid w:val="1B714937"/>
    <w:rsid w:val="1B9318D8"/>
    <w:rsid w:val="1B9C077F"/>
    <w:rsid w:val="1BAC77AE"/>
    <w:rsid w:val="1BB61311"/>
    <w:rsid w:val="1BCE7EC2"/>
    <w:rsid w:val="1BD53DB6"/>
    <w:rsid w:val="1BD63D01"/>
    <w:rsid w:val="1BD700DE"/>
    <w:rsid w:val="1BDB7F0C"/>
    <w:rsid w:val="1BE72A9A"/>
    <w:rsid w:val="1BE9257E"/>
    <w:rsid w:val="1BF00D33"/>
    <w:rsid w:val="1BF30AD3"/>
    <w:rsid w:val="1BFA2D52"/>
    <w:rsid w:val="1C027124"/>
    <w:rsid w:val="1C063105"/>
    <w:rsid w:val="1C137E89"/>
    <w:rsid w:val="1C1733C9"/>
    <w:rsid w:val="1C1D7197"/>
    <w:rsid w:val="1C281220"/>
    <w:rsid w:val="1C2B3A99"/>
    <w:rsid w:val="1C2F39AB"/>
    <w:rsid w:val="1C391CE6"/>
    <w:rsid w:val="1C3F06A8"/>
    <w:rsid w:val="1C43085E"/>
    <w:rsid w:val="1C572B1E"/>
    <w:rsid w:val="1C647326"/>
    <w:rsid w:val="1C662F99"/>
    <w:rsid w:val="1C6972D2"/>
    <w:rsid w:val="1C793F5C"/>
    <w:rsid w:val="1C990EF3"/>
    <w:rsid w:val="1CA11474"/>
    <w:rsid w:val="1CA221F4"/>
    <w:rsid w:val="1CA71B75"/>
    <w:rsid w:val="1CB67C95"/>
    <w:rsid w:val="1CB71947"/>
    <w:rsid w:val="1CC13DA3"/>
    <w:rsid w:val="1CC1652B"/>
    <w:rsid w:val="1CC267C2"/>
    <w:rsid w:val="1CDF46BA"/>
    <w:rsid w:val="1CEB5010"/>
    <w:rsid w:val="1CEC4ABE"/>
    <w:rsid w:val="1CEE485A"/>
    <w:rsid w:val="1CFA171A"/>
    <w:rsid w:val="1D056CF6"/>
    <w:rsid w:val="1D081044"/>
    <w:rsid w:val="1D083F04"/>
    <w:rsid w:val="1D0D5FCB"/>
    <w:rsid w:val="1D23068F"/>
    <w:rsid w:val="1D280311"/>
    <w:rsid w:val="1D2B6C88"/>
    <w:rsid w:val="1D2C4D0F"/>
    <w:rsid w:val="1D46069B"/>
    <w:rsid w:val="1D4F363D"/>
    <w:rsid w:val="1D5C08EA"/>
    <w:rsid w:val="1D5D6C59"/>
    <w:rsid w:val="1D787EA1"/>
    <w:rsid w:val="1D7A2DD8"/>
    <w:rsid w:val="1D8E00DB"/>
    <w:rsid w:val="1D8F6C8F"/>
    <w:rsid w:val="1D911438"/>
    <w:rsid w:val="1D975856"/>
    <w:rsid w:val="1D990952"/>
    <w:rsid w:val="1DB4780D"/>
    <w:rsid w:val="1DBE558D"/>
    <w:rsid w:val="1DD17F94"/>
    <w:rsid w:val="1DD82130"/>
    <w:rsid w:val="1DDE6F8F"/>
    <w:rsid w:val="1DE729AD"/>
    <w:rsid w:val="1DE938A8"/>
    <w:rsid w:val="1DEE23CE"/>
    <w:rsid w:val="1DFF4959"/>
    <w:rsid w:val="1E0B55ED"/>
    <w:rsid w:val="1E0D1DF9"/>
    <w:rsid w:val="1E155373"/>
    <w:rsid w:val="1E174767"/>
    <w:rsid w:val="1E207C89"/>
    <w:rsid w:val="1E245368"/>
    <w:rsid w:val="1E2906AB"/>
    <w:rsid w:val="1E2F457B"/>
    <w:rsid w:val="1E325052"/>
    <w:rsid w:val="1E413AD9"/>
    <w:rsid w:val="1E447514"/>
    <w:rsid w:val="1E4B64D2"/>
    <w:rsid w:val="1E4E15A4"/>
    <w:rsid w:val="1E5576C7"/>
    <w:rsid w:val="1E597784"/>
    <w:rsid w:val="1E5A6424"/>
    <w:rsid w:val="1E611937"/>
    <w:rsid w:val="1E615080"/>
    <w:rsid w:val="1E6F2061"/>
    <w:rsid w:val="1E7C4C0C"/>
    <w:rsid w:val="1E7C5B6F"/>
    <w:rsid w:val="1E83201B"/>
    <w:rsid w:val="1E900ED9"/>
    <w:rsid w:val="1E915EE5"/>
    <w:rsid w:val="1E92571C"/>
    <w:rsid w:val="1E9B57BA"/>
    <w:rsid w:val="1E9E7FD7"/>
    <w:rsid w:val="1E9F4C71"/>
    <w:rsid w:val="1EA66DF2"/>
    <w:rsid w:val="1EB13F21"/>
    <w:rsid w:val="1EC17E71"/>
    <w:rsid w:val="1EC479F5"/>
    <w:rsid w:val="1ECC4F46"/>
    <w:rsid w:val="1ECF1E50"/>
    <w:rsid w:val="1EDF76BE"/>
    <w:rsid w:val="1EF55011"/>
    <w:rsid w:val="1EF57783"/>
    <w:rsid w:val="1F001DE1"/>
    <w:rsid w:val="1F03367F"/>
    <w:rsid w:val="1F070496"/>
    <w:rsid w:val="1F0D0454"/>
    <w:rsid w:val="1F1158D1"/>
    <w:rsid w:val="1F1525FC"/>
    <w:rsid w:val="1F1627D3"/>
    <w:rsid w:val="1F20727F"/>
    <w:rsid w:val="1F254EFE"/>
    <w:rsid w:val="1F2602D6"/>
    <w:rsid w:val="1F320074"/>
    <w:rsid w:val="1F332842"/>
    <w:rsid w:val="1F3762F6"/>
    <w:rsid w:val="1F3B1AC1"/>
    <w:rsid w:val="1F3C5FDD"/>
    <w:rsid w:val="1F4B1A17"/>
    <w:rsid w:val="1F5E1A02"/>
    <w:rsid w:val="1F70684D"/>
    <w:rsid w:val="1F782E6F"/>
    <w:rsid w:val="1F7F50C4"/>
    <w:rsid w:val="1F807EAF"/>
    <w:rsid w:val="1F861444"/>
    <w:rsid w:val="1FA13394"/>
    <w:rsid w:val="1FA30FA9"/>
    <w:rsid w:val="1FA67790"/>
    <w:rsid w:val="1FA863E6"/>
    <w:rsid w:val="1FB62952"/>
    <w:rsid w:val="1FD65BB4"/>
    <w:rsid w:val="1FD71C1F"/>
    <w:rsid w:val="1FDE0D25"/>
    <w:rsid w:val="1FE77F49"/>
    <w:rsid w:val="1FEF70E8"/>
    <w:rsid w:val="1FF634C7"/>
    <w:rsid w:val="1FFD25F8"/>
    <w:rsid w:val="1FFF23C5"/>
    <w:rsid w:val="20013561"/>
    <w:rsid w:val="20025BEC"/>
    <w:rsid w:val="200B1BC1"/>
    <w:rsid w:val="201C7717"/>
    <w:rsid w:val="201D7699"/>
    <w:rsid w:val="201E6389"/>
    <w:rsid w:val="20246154"/>
    <w:rsid w:val="202D650A"/>
    <w:rsid w:val="2031708E"/>
    <w:rsid w:val="20320238"/>
    <w:rsid w:val="203C46A2"/>
    <w:rsid w:val="20426E87"/>
    <w:rsid w:val="20435E09"/>
    <w:rsid w:val="20486C44"/>
    <w:rsid w:val="20544633"/>
    <w:rsid w:val="20587B69"/>
    <w:rsid w:val="205D27F8"/>
    <w:rsid w:val="20612DBE"/>
    <w:rsid w:val="20777B54"/>
    <w:rsid w:val="207C7145"/>
    <w:rsid w:val="20857C8B"/>
    <w:rsid w:val="208906D8"/>
    <w:rsid w:val="20893F0A"/>
    <w:rsid w:val="208E4663"/>
    <w:rsid w:val="208F6EB2"/>
    <w:rsid w:val="20905853"/>
    <w:rsid w:val="209D6FC4"/>
    <w:rsid w:val="20A4007B"/>
    <w:rsid w:val="20A4269C"/>
    <w:rsid w:val="20A458DC"/>
    <w:rsid w:val="20A74B04"/>
    <w:rsid w:val="20B4147F"/>
    <w:rsid w:val="20B64B00"/>
    <w:rsid w:val="20BA4B3D"/>
    <w:rsid w:val="20CD779A"/>
    <w:rsid w:val="20D5031B"/>
    <w:rsid w:val="20D74741"/>
    <w:rsid w:val="20D96A96"/>
    <w:rsid w:val="20DF444F"/>
    <w:rsid w:val="20F92439"/>
    <w:rsid w:val="21085572"/>
    <w:rsid w:val="210A35DC"/>
    <w:rsid w:val="21184DC3"/>
    <w:rsid w:val="21196ED9"/>
    <w:rsid w:val="211A6420"/>
    <w:rsid w:val="21275F27"/>
    <w:rsid w:val="212B2ACA"/>
    <w:rsid w:val="213565BC"/>
    <w:rsid w:val="21360135"/>
    <w:rsid w:val="2141158E"/>
    <w:rsid w:val="214A72A5"/>
    <w:rsid w:val="21556BD6"/>
    <w:rsid w:val="216217D4"/>
    <w:rsid w:val="21713BA2"/>
    <w:rsid w:val="21766E49"/>
    <w:rsid w:val="217D72E2"/>
    <w:rsid w:val="218A11E3"/>
    <w:rsid w:val="218B34C0"/>
    <w:rsid w:val="219B1D97"/>
    <w:rsid w:val="21A34C8B"/>
    <w:rsid w:val="21AB4A20"/>
    <w:rsid w:val="21AF2CA3"/>
    <w:rsid w:val="21B17D9E"/>
    <w:rsid w:val="21CC1F2D"/>
    <w:rsid w:val="21D358D0"/>
    <w:rsid w:val="21D401F6"/>
    <w:rsid w:val="21D72C09"/>
    <w:rsid w:val="21E32CEE"/>
    <w:rsid w:val="21E37BAE"/>
    <w:rsid w:val="21EF5485"/>
    <w:rsid w:val="21F239B6"/>
    <w:rsid w:val="21F350CE"/>
    <w:rsid w:val="21F467AF"/>
    <w:rsid w:val="21F85E28"/>
    <w:rsid w:val="21FA0517"/>
    <w:rsid w:val="21FB6620"/>
    <w:rsid w:val="2208262D"/>
    <w:rsid w:val="22171188"/>
    <w:rsid w:val="22193106"/>
    <w:rsid w:val="22280C61"/>
    <w:rsid w:val="222A66C4"/>
    <w:rsid w:val="22315170"/>
    <w:rsid w:val="223A5ABF"/>
    <w:rsid w:val="223B6C10"/>
    <w:rsid w:val="223D1086"/>
    <w:rsid w:val="224C0E53"/>
    <w:rsid w:val="225147B2"/>
    <w:rsid w:val="22595037"/>
    <w:rsid w:val="225D1776"/>
    <w:rsid w:val="226600B6"/>
    <w:rsid w:val="226D4493"/>
    <w:rsid w:val="226E52E8"/>
    <w:rsid w:val="2284752F"/>
    <w:rsid w:val="22885AE7"/>
    <w:rsid w:val="22916CA2"/>
    <w:rsid w:val="229926F7"/>
    <w:rsid w:val="22AC2D99"/>
    <w:rsid w:val="22C14309"/>
    <w:rsid w:val="22C25EA1"/>
    <w:rsid w:val="22C934A8"/>
    <w:rsid w:val="22C93650"/>
    <w:rsid w:val="22CD0313"/>
    <w:rsid w:val="22CE4279"/>
    <w:rsid w:val="22CE7D78"/>
    <w:rsid w:val="22D7441D"/>
    <w:rsid w:val="22DB29D1"/>
    <w:rsid w:val="22E32015"/>
    <w:rsid w:val="22E3378C"/>
    <w:rsid w:val="22EA5B7E"/>
    <w:rsid w:val="22F13B04"/>
    <w:rsid w:val="22FC0C34"/>
    <w:rsid w:val="23082926"/>
    <w:rsid w:val="23113287"/>
    <w:rsid w:val="231E264D"/>
    <w:rsid w:val="23233D19"/>
    <w:rsid w:val="232A010C"/>
    <w:rsid w:val="232A5996"/>
    <w:rsid w:val="232F7F31"/>
    <w:rsid w:val="23300780"/>
    <w:rsid w:val="233F5555"/>
    <w:rsid w:val="23403CAA"/>
    <w:rsid w:val="23491140"/>
    <w:rsid w:val="234C2549"/>
    <w:rsid w:val="234E2D33"/>
    <w:rsid w:val="2357534E"/>
    <w:rsid w:val="23596554"/>
    <w:rsid w:val="235F0043"/>
    <w:rsid w:val="236F6665"/>
    <w:rsid w:val="23705744"/>
    <w:rsid w:val="237A5A4D"/>
    <w:rsid w:val="238332FB"/>
    <w:rsid w:val="238813A5"/>
    <w:rsid w:val="239735EA"/>
    <w:rsid w:val="239D64EE"/>
    <w:rsid w:val="239F2406"/>
    <w:rsid w:val="23A37DEA"/>
    <w:rsid w:val="23B275E9"/>
    <w:rsid w:val="23BB7BDA"/>
    <w:rsid w:val="23BD6B97"/>
    <w:rsid w:val="23BE7DEC"/>
    <w:rsid w:val="23CA28B7"/>
    <w:rsid w:val="23CD4F54"/>
    <w:rsid w:val="23D13D63"/>
    <w:rsid w:val="23E936EC"/>
    <w:rsid w:val="23F1506F"/>
    <w:rsid w:val="23F53A1A"/>
    <w:rsid w:val="23F60A5D"/>
    <w:rsid w:val="23FE1049"/>
    <w:rsid w:val="24065FD5"/>
    <w:rsid w:val="240F3231"/>
    <w:rsid w:val="24174DDE"/>
    <w:rsid w:val="243564C2"/>
    <w:rsid w:val="243F05E1"/>
    <w:rsid w:val="24476031"/>
    <w:rsid w:val="24525EA1"/>
    <w:rsid w:val="24552A1D"/>
    <w:rsid w:val="24575DCA"/>
    <w:rsid w:val="245D5235"/>
    <w:rsid w:val="246054C1"/>
    <w:rsid w:val="2463158D"/>
    <w:rsid w:val="24667D70"/>
    <w:rsid w:val="247A10EA"/>
    <w:rsid w:val="2482553A"/>
    <w:rsid w:val="248F3D0B"/>
    <w:rsid w:val="248F7DE2"/>
    <w:rsid w:val="249838A7"/>
    <w:rsid w:val="249A3D68"/>
    <w:rsid w:val="249B6D76"/>
    <w:rsid w:val="24A26909"/>
    <w:rsid w:val="24A72AC8"/>
    <w:rsid w:val="24B85C18"/>
    <w:rsid w:val="24C40B30"/>
    <w:rsid w:val="24CD069C"/>
    <w:rsid w:val="24CE1B34"/>
    <w:rsid w:val="24D42A66"/>
    <w:rsid w:val="24DA1C27"/>
    <w:rsid w:val="24DF1D3F"/>
    <w:rsid w:val="24F70A97"/>
    <w:rsid w:val="250679C3"/>
    <w:rsid w:val="250917FA"/>
    <w:rsid w:val="252030CD"/>
    <w:rsid w:val="252F7B5B"/>
    <w:rsid w:val="253132B9"/>
    <w:rsid w:val="25411A5C"/>
    <w:rsid w:val="25411F11"/>
    <w:rsid w:val="25566CF2"/>
    <w:rsid w:val="255B2359"/>
    <w:rsid w:val="25683002"/>
    <w:rsid w:val="25697068"/>
    <w:rsid w:val="257F4717"/>
    <w:rsid w:val="25831FBC"/>
    <w:rsid w:val="259634E5"/>
    <w:rsid w:val="2596398B"/>
    <w:rsid w:val="25963D03"/>
    <w:rsid w:val="259A1BC4"/>
    <w:rsid w:val="259C29D6"/>
    <w:rsid w:val="25AD0BCC"/>
    <w:rsid w:val="25B837FB"/>
    <w:rsid w:val="25BA43C0"/>
    <w:rsid w:val="25C546A7"/>
    <w:rsid w:val="25C54844"/>
    <w:rsid w:val="25CB5346"/>
    <w:rsid w:val="25D85C4D"/>
    <w:rsid w:val="25DF2503"/>
    <w:rsid w:val="25E12476"/>
    <w:rsid w:val="25E44D92"/>
    <w:rsid w:val="25EF4B9E"/>
    <w:rsid w:val="25F14F4C"/>
    <w:rsid w:val="25F47ED5"/>
    <w:rsid w:val="26030F2A"/>
    <w:rsid w:val="26163573"/>
    <w:rsid w:val="261F3EFF"/>
    <w:rsid w:val="26273EA6"/>
    <w:rsid w:val="263336C9"/>
    <w:rsid w:val="26453075"/>
    <w:rsid w:val="2654471F"/>
    <w:rsid w:val="2655137E"/>
    <w:rsid w:val="26553061"/>
    <w:rsid w:val="26640753"/>
    <w:rsid w:val="26664E2A"/>
    <w:rsid w:val="26704BFE"/>
    <w:rsid w:val="267B3FBF"/>
    <w:rsid w:val="268B4851"/>
    <w:rsid w:val="26994A7D"/>
    <w:rsid w:val="26AC1F0A"/>
    <w:rsid w:val="26B341DF"/>
    <w:rsid w:val="26B37AD8"/>
    <w:rsid w:val="26C50C56"/>
    <w:rsid w:val="26D3659C"/>
    <w:rsid w:val="26DD705E"/>
    <w:rsid w:val="26DE28E0"/>
    <w:rsid w:val="26E45E6A"/>
    <w:rsid w:val="26E95F05"/>
    <w:rsid w:val="26E97976"/>
    <w:rsid w:val="26F136AE"/>
    <w:rsid w:val="26F35FB3"/>
    <w:rsid w:val="26F74BBD"/>
    <w:rsid w:val="26F936EF"/>
    <w:rsid w:val="26FE18F0"/>
    <w:rsid w:val="271839A4"/>
    <w:rsid w:val="27204AC9"/>
    <w:rsid w:val="2724504D"/>
    <w:rsid w:val="272B612C"/>
    <w:rsid w:val="272E2DDF"/>
    <w:rsid w:val="273E077C"/>
    <w:rsid w:val="274869EC"/>
    <w:rsid w:val="274C2897"/>
    <w:rsid w:val="274E5795"/>
    <w:rsid w:val="275842FF"/>
    <w:rsid w:val="2763572A"/>
    <w:rsid w:val="27644934"/>
    <w:rsid w:val="27680885"/>
    <w:rsid w:val="276B4832"/>
    <w:rsid w:val="277472AF"/>
    <w:rsid w:val="27772CA4"/>
    <w:rsid w:val="277F1738"/>
    <w:rsid w:val="27876285"/>
    <w:rsid w:val="279152E7"/>
    <w:rsid w:val="27917A51"/>
    <w:rsid w:val="27986B5D"/>
    <w:rsid w:val="27A17C54"/>
    <w:rsid w:val="27AC2895"/>
    <w:rsid w:val="27AD6630"/>
    <w:rsid w:val="27AD6C9D"/>
    <w:rsid w:val="27B14FE0"/>
    <w:rsid w:val="27B501CC"/>
    <w:rsid w:val="27B53BA1"/>
    <w:rsid w:val="27B55E2C"/>
    <w:rsid w:val="27B64AF3"/>
    <w:rsid w:val="27B829C6"/>
    <w:rsid w:val="27BD06E1"/>
    <w:rsid w:val="27C22F88"/>
    <w:rsid w:val="27C464CD"/>
    <w:rsid w:val="27CB233C"/>
    <w:rsid w:val="27D0254A"/>
    <w:rsid w:val="27D06E91"/>
    <w:rsid w:val="27DD3973"/>
    <w:rsid w:val="27EB333F"/>
    <w:rsid w:val="27EB6818"/>
    <w:rsid w:val="27F348A4"/>
    <w:rsid w:val="27FA1838"/>
    <w:rsid w:val="28000CB0"/>
    <w:rsid w:val="2803582C"/>
    <w:rsid w:val="281A740B"/>
    <w:rsid w:val="281F26FC"/>
    <w:rsid w:val="28200AD5"/>
    <w:rsid w:val="282E7162"/>
    <w:rsid w:val="283304CD"/>
    <w:rsid w:val="28351A03"/>
    <w:rsid w:val="28353A6B"/>
    <w:rsid w:val="28793CCD"/>
    <w:rsid w:val="287A6CBA"/>
    <w:rsid w:val="28935B9B"/>
    <w:rsid w:val="289B78C6"/>
    <w:rsid w:val="28A83DD3"/>
    <w:rsid w:val="28B95FD3"/>
    <w:rsid w:val="28BA6EDC"/>
    <w:rsid w:val="28C57857"/>
    <w:rsid w:val="28CA1776"/>
    <w:rsid w:val="28CB6132"/>
    <w:rsid w:val="28D650F9"/>
    <w:rsid w:val="28DF0BCA"/>
    <w:rsid w:val="28E66CE4"/>
    <w:rsid w:val="28F77ACE"/>
    <w:rsid w:val="28F8719F"/>
    <w:rsid w:val="290C2C48"/>
    <w:rsid w:val="29177402"/>
    <w:rsid w:val="292D07D4"/>
    <w:rsid w:val="293415DD"/>
    <w:rsid w:val="29353ACF"/>
    <w:rsid w:val="294771A2"/>
    <w:rsid w:val="295A484F"/>
    <w:rsid w:val="296D43C1"/>
    <w:rsid w:val="29894CD1"/>
    <w:rsid w:val="298B5861"/>
    <w:rsid w:val="298C7AFD"/>
    <w:rsid w:val="298E24EF"/>
    <w:rsid w:val="29CE260F"/>
    <w:rsid w:val="29CF2FA8"/>
    <w:rsid w:val="29D92338"/>
    <w:rsid w:val="29D962DC"/>
    <w:rsid w:val="29E96AB6"/>
    <w:rsid w:val="29EA32E6"/>
    <w:rsid w:val="29F0084A"/>
    <w:rsid w:val="29F451A4"/>
    <w:rsid w:val="29F510A8"/>
    <w:rsid w:val="29F879F6"/>
    <w:rsid w:val="29FA4FC6"/>
    <w:rsid w:val="2A06128D"/>
    <w:rsid w:val="2A066A84"/>
    <w:rsid w:val="2A0C6AFF"/>
    <w:rsid w:val="2A115337"/>
    <w:rsid w:val="2A173D3C"/>
    <w:rsid w:val="2A1B20D3"/>
    <w:rsid w:val="2A1C29F5"/>
    <w:rsid w:val="2A1F0EF4"/>
    <w:rsid w:val="2A2B37CE"/>
    <w:rsid w:val="2A320D7C"/>
    <w:rsid w:val="2A38336D"/>
    <w:rsid w:val="2A4E62F1"/>
    <w:rsid w:val="2A56506C"/>
    <w:rsid w:val="2A5C7FC5"/>
    <w:rsid w:val="2A616C9F"/>
    <w:rsid w:val="2A6E61E2"/>
    <w:rsid w:val="2A78609A"/>
    <w:rsid w:val="2A79170B"/>
    <w:rsid w:val="2A7B7447"/>
    <w:rsid w:val="2A806D70"/>
    <w:rsid w:val="2A8A37CC"/>
    <w:rsid w:val="2A995252"/>
    <w:rsid w:val="2A9F6451"/>
    <w:rsid w:val="2AA4562D"/>
    <w:rsid w:val="2AAF62A5"/>
    <w:rsid w:val="2AC15157"/>
    <w:rsid w:val="2AD37A2B"/>
    <w:rsid w:val="2AD56C54"/>
    <w:rsid w:val="2AD87E92"/>
    <w:rsid w:val="2ADA12E4"/>
    <w:rsid w:val="2ADD7B5F"/>
    <w:rsid w:val="2AF57F12"/>
    <w:rsid w:val="2B035D86"/>
    <w:rsid w:val="2B0C5103"/>
    <w:rsid w:val="2B1067DE"/>
    <w:rsid w:val="2B150BC1"/>
    <w:rsid w:val="2B201A57"/>
    <w:rsid w:val="2B29100E"/>
    <w:rsid w:val="2B351575"/>
    <w:rsid w:val="2B3615A6"/>
    <w:rsid w:val="2B375D91"/>
    <w:rsid w:val="2B3E748A"/>
    <w:rsid w:val="2B562C6F"/>
    <w:rsid w:val="2B583AEE"/>
    <w:rsid w:val="2B5B5D59"/>
    <w:rsid w:val="2B5C5372"/>
    <w:rsid w:val="2B616D59"/>
    <w:rsid w:val="2B62772C"/>
    <w:rsid w:val="2B635749"/>
    <w:rsid w:val="2B657DBF"/>
    <w:rsid w:val="2B6B5DD8"/>
    <w:rsid w:val="2B7263D3"/>
    <w:rsid w:val="2B871158"/>
    <w:rsid w:val="2B8B540A"/>
    <w:rsid w:val="2B8C5093"/>
    <w:rsid w:val="2B8F4758"/>
    <w:rsid w:val="2B903574"/>
    <w:rsid w:val="2BA63C8D"/>
    <w:rsid w:val="2BB13E34"/>
    <w:rsid w:val="2BB22812"/>
    <w:rsid w:val="2BB33960"/>
    <w:rsid w:val="2BB94213"/>
    <w:rsid w:val="2BBD7FF5"/>
    <w:rsid w:val="2BC87952"/>
    <w:rsid w:val="2BD04669"/>
    <w:rsid w:val="2BD770DD"/>
    <w:rsid w:val="2BDA1CB0"/>
    <w:rsid w:val="2BE74373"/>
    <w:rsid w:val="2BEA2E1C"/>
    <w:rsid w:val="2BEC637E"/>
    <w:rsid w:val="2BF1333E"/>
    <w:rsid w:val="2C0538C5"/>
    <w:rsid w:val="2C085C55"/>
    <w:rsid w:val="2C0D6055"/>
    <w:rsid w:val="2C1654F3"/>
    <w:rsid w:val="2C213755"/>
    <w:rsid w:val="2C2139C2"/>
    <w:rsid w:val="2C2829E6"/>
    <w:rsid w:val="2C2B068F"/>
    <w:rsid w:val="2C3704DE"/>
    <w:rsid w:val="2C4B44F3"/>
    <w:rsid w:val="2C5003E3"/>
    <w:rsid w:val="2C566ED7"/>
    <w:rsid w:val="2C577229"/>
    <w:rsid w:val="2C5E6F46"/>
    <w:rsid w:val="2C636A1B"/>
    <w:rsid w:val="2C680795"/>
    <w:rsid w:val="2C6F3EBB"/>
    <w:rsid w:val="2C83554F"/>
    <w:rsid w:val="2C947165"/>
    <w:rsid w:val="2C975C10"/>
    <w:rsid w:val="2C9A73EA"/>
    <w:rsid w:val="2CA10F9C"/>
    <w:rsid w:val="2CB17E18"/>
    <w:rsid w:val="2CBE1822"/>
    <w:rsid w:val="2CC01FD2"/>
    <w:rsid w:val="2CC30D00"/>
    <w:rsid w:val="2CC34DFE"/>
    <w:rsid w:val="2CD45F45"/>
    <w:rsid w:val="2CDC1CCA"/>
    <w:rsid w:val="2CF20C68"/>
    <w:rsid w:val="2CF619C3"/>
    <w:rsid w:val="2D00266E"/>
    <w:rsid w:val="2D1340FA"/>
    <w:rsid w:val="2D20425C"/>
    <w:rsid w:val="2D2B4192"/>
    <w:rsid w:val="2D3020BC"/>
    <w:rsid w:val="2D3327C6"/>
    <w:rsid w:val="2D342F24"/>
    <w:rsid w:val="2D3453F9"/>
    <w:rsid w:val="2D361493"/>
    <w:rsid w:val="2D3B3F1A"/>
    <w:rsid w:val="2D416D8D"/>
    <w:rsid w:val="2D476E99"/>
    <w:rsid w:val="2D4C5FA8"/>
    <w:rsid w:val="2D565B36"/>
    <w:rsid w:val="2D56631F"/>
    <w:rsid w:val="2D566631"/>
    <w:rsid w:val="2D60121C"/>
    <w:rsid w:val="2D865D2E"/>
    <w:rsid w:val="2D997A10"/>
    <w:rsid w:val="2D9D41F1"/>
    <w:rsid w:val="2DA76269"/>
    <w:rsid w:val="2DAE6E97"/>
    <w:rsid w:val="2DB62B4B"/>
    <w:rsid w:val="2DBC2A4F"/>
    <w:rsid w:val="2DBC662D"/>
    <w:rsid w:val="2DBD008A"/>
    <w:rsid w:val="2DC2234F"/>
    <w:rsid w:val="2DC5316A"/>
    <w:rsid w:val="2DC655CF"/>
    <w:rsid w:val="2DE33018"/>
    <w:rsid w:val="2DE865C9"/>
    <w:rsid w:val="2E044FA2"/>
    <w:rsid w:val="2E121C06"/>
    <w:rsid w:val="2E1C4192"/>
    <w:rsid w:val="2E287135"/>
    <w:rsid w:val="2E2B237C"/>
    <w:rsid w:val="2E2C2CEE"/>
    <w:rsid w:val="2E2E316A"/>
    <w:rsid w:val="2E352B5E"/>
    <w:rsid w:val="2E377C30"/>
    <w:rsid w:val="2E3B59CB"/>
    <w:rsid w:val="2E4808DE"/>
    <w:rsid w:val="2E4D77EE"/>
    <w:rsid w:val="2E5824A6"/>
    <w:rsid w:val="2E590329"/>
    <w:rsid w:val="2E5F0995"/>
    <w:rsid w:val="2E663075"/>
    <w:rsid w:val="2E673102"/>
    <w:rsid w:val="2E722610"/>
    <w:rsid w:val="2E743625"/>
    <w:rsid w:val="2E80793E"/>
    <w:rsid w:val="2E910143"/>
    <w:rsid w:val="2E934E14"/>
    <w:rsid w:val="2E981C98"/>
    <w:rsid w:val="2E9E49C3"/>
    <w:rsid w:val="2EA13FC6"/>
    <w:rsid w:val="2EA353D5"/>
    <w:rsid w:val="2EA558B5"/>
    <w:rsid w:val="2EA569F2"/>
    <w:rsid w:val="2EA94D5E"/>
    <w:rsid w:val="2EAA7BC5"/>
    <w:rsid w:val="2EB16A81"/>
    <w:rsid w:val="2EB9457E"/>
    <w:rsid w:val="2EC22A3B"/>
    <w:rsid w:val="2EC25C36"/>
    <w:rsid w:val="2EC3206D"/>
    <w:rsid w:val="2EC935EE"/>
    <w:rsid w:val="2EDC7BC0"/>
    <w:rsid w:val="2EDE3BA7"/>
    <w:rsid w:val="2EEA62A6"/>
    <w:rsid w:val="2EEE53F5"/>
    <w:rsid w:val="2EF708EC"/>
    <w:rsid w:val="2EF956E5"/>
    <w:rsid w:val="2EFB58B8"/>
    <w:rsid w:val="2EFE43D3"/>
    <w:rsid w:val="2F0427E7"/>
    <w:rsid w:val="2F0605C7"/>
    <w:rsid w:val="2F0904BC"/>
    <w:rsid w:val="2F19356F"/>
    <w:rsid w:val="2F1A4B61"/>
    <w:rsid w:val="2F1C5C75"/>
    <w:rsid w:val="2F1E60BE"/>
    <w:rsid w:val="2F1F5772"/>
    <w:rsid w:val="2F205EDA"/>
    <w:rsid w:val="2F277E51"/>
    <w:rsid w:val="2F2B74B4"/>
    <w:rsid w:val="2F3037CD"/>
    <w:rsid w:val="2F3234F1"/>
    <w:rsid w:val="2F35474B"/>
    <w:rsid w:val="2F3D0888"/>
    <w:rsid w:val="2F3E19B2"/>
    <w:rsid w:val="2F404F75"/>
    <w:rsid w:val="2F4F792B"/>
    <w:rsid w:val="2F52703B"/>
    <w:rsid w:val="2F574D49"/>
    <w:rsid w:val="2F6369C8"/>
    <w:rsid w:val="2F643B57"/>
    <w:rsid w:val="2F6B7546"/>
    <w:rsid w:val="2F6B7DD2"/>
    <w:rsid w:val="2F6E47EC"/>
    <w:rsid w:val="2F730E4B"/>
    <w:rsid w:val="2F7E24E4"/>
    <w:rsid w:val="2F844138"/>
    <w:rsid w:val="2F8B0642"/>
    <w:rsid w:val="2F92264F"/>
    <w:rsid w:val="2F973F1E"/>
    <w:rsid w:val="2FA96D3C"/>
    <w:rsid w:val="2FB01EA7"/>
    <w:rsid w:val="2FB505B6"/>
    <w:rsid w:val="2FBE78B3"/>
    <w:rsid w:val="2FC61BA0"/>
    <w:rsid w:val="2FC67220"/>
    <w:rsid w:val="2FCD0928"/>
    <w:rsid w:val="2FCF1343"/>
    <w:rsid w:val="2FE33018"/>
    <w:rsid w:val="2FF76E51"/>
    <w:rsid w:val="2FFF1DA2"/>
    <w:rsid w:val="30005305"/>
    <w:rsid w:val="30190F20"/>
    <w:rsid w:val="30212D47"/>
    <w:rsid w:val="30234A01"/>
    <w:rsid w:val="30257345"/>
    <w:rsid w:val="30315779"/>
    <w:rsid w:val="3031664A"/>
    <w:rsid w:val="303314D0"/>
    <w:rsid w:val="30347C1E"/>
    <w:rsid w:val="30360C95"/>
    <w:rsid w:val="30393439"/>
    <w:rsid w:val="304556DA"/>
    <w:rsid w:val="304621D5"/>
    <w:rsid w:val="304B73B7"/>
    <w:rsid w:val="304D7526"/>
    <w:rsid w:val="304E1927"/>
    <w:rsid w:val="304E3CCE"/>
    <w:rsid w:val="304F6EAA"/>
    <w:rsid w:val="30593028"/>
    <w:rsid w:val="305D148F"/>
    <w:rsid w:val="30650465"/>
    <w:rsid w:val="3068115A"/>
    <w:rsid w:val="306C5765"/>
    <w:rsid w:val="306E3056"/>
    <w:rsid w:val="307072B4"/>
    <w:rsid w:val="307A74CC"/>
    <w:rsid w:val="307C1DF5"/>
    <w:rsid w:val="3085261E"/>
    <w:rsid w:val="3090248C"/>
    <w:rsid w:val="30912076"/>
    <w:rsid w:val="30921208"/>
    <w:rsid w:val="3093313F"/>
    <w:rsid w:val="30AA3CDF"/>
    <w:rsid w:val="30B413F5"/>
    <w:rsid w:val="30B52403"/>
    <w:rsid w:val="30B661DC"/>
    <w:rsid w:val="30BB617B"/>
    <w:rsid w:val="30C53097"/>
    <w:rsid w:val="30CA22C2"/>
    <w:rsid w:val="30CF34C5"/>
    <w:rsid w:val="30D71676"/>
    <w:rsid w:val="30E14D84"/>
    <w:rsid w:val="30F55D9C"/>
    <w:rsid w:val="30F60E46"/>
    <w:rsid w:val="30F80082"/>
    <w:rsid w:val="310606ED"/>
    <w:rsid w:val="31110202"/>
    <w:rsid w:val="31187F22"/>
    <w:rsid w:val="31266174"/>
    <w:rsid w:val="312A5D10"/>
    <w:rsid w:val="31315B6D"/>
    <w:rsid w:val="31352CD2"/>
    <w:rsid w:val="31394A99"/>
    <w:rsid w:val="313E620E"/>
    <w:rsid w:val="31411550"/>
    <w:rsid w:val="314926AD"/>
    <w:rsid w:val="314B29C9"/>
    <w:rsid w:val="3150749F"/>
    <w:rsid w:val="315759FD"/>
    <w:rsid w:val="316455C0"/>
    <w:rsid w:val="31804D58"/>
    <w:rsid w:val="31815988"/>
    <w:rsid w:val="31850441"/>
    <w:rsid w:val="31902FFD"/>
    <w:rsid w:val="319E14F6"/>
    <w:rsid w:val="31A26056"/>
    <w:rsid w:val="31A56B58"/>
    <w:rsid w:val="31A87069"/>
    <w:rsid w:val="31AC6A58"/>
    <w:rsid w:val="31B26844"/>
    <w:rsid w:val="31B56E44"/>
    <w:rsid w:val="31B80F38"/>
    <w:rsid w:val="31BB5F1B"/>
    <w:rsid w:val="31C55934"/>
    <w:rsid w:val="31CE170B"/>
    <w:rsid w:val="31D14A03"/>
    <w:rsid w:val="31E03C28"/>
    <w:rsid w:val="31F40535"/>
    <w:rsid w:val="31F7313C"/>
    <w:rsid w:val="31FB5D29"/>
    <w:rsid w:val="31FC331B"/>
    <w:rsid w:val="320A3BF1"/>
    <w:rsid w:val="32172513"/>
    <w:rsid w:val="322D10F4"/>
    <w:rsid w:val="323A5B7B"/>
    <w:rsid w:val="324813D3"/>
    <w:rsid w:val="324A7B7F"/>
    <w:rsid w:val="324E6B03"/>
    <w:rsid w:val="32594300"/>
    <w:rsid w:val="325D26D5"/>
    <w:rsid w:val="326061EE"/>
    <w:rsid w:val="326F74C5"/>
    <w:rsid w:val="32742801"/>
    <w:rsid w:val="32823D93"/>
    <w:rsid w:val="328517A5"/>
    <w:rsid w:val="328F1407"/>
    <w:rsid w:val="32906FD0"/>
    <w:rsid w:val="32987C3B"/>
    <w:rsid w:val="329D0094"/>
    <w:rsid w:val="32A614D8"/>
    <w:rsid w:val="32A90166"/>
    <w:rsid w:val="32AF373A"/>
    <w:rsid w:val="32D67B80"/>
    <w:rsid w:val="32D963D7"/>
    <w:rsid w:val="32DE0427"/>
    <w:rsid w:val="32ED7973"/>
    <w:rsid w:val="32F02FF8"/>
    <w:rsid w:val="33005947"/>
    <w:rsid w:val="33064179"/>
    <w:rsid w:val="33151FE6"/>
    <w:rsid w:val="33183774"/>
    <w:rsid w:val="331842B5"/>
    <w:rsid w:val="333E717D"/>
    <w:rsid w:val="33413C38"/>
    <w:rsid w:val="334556FF"/>
    <w:rsid w:val="33481CAB"/>
    <w:rsid w:val="33507EEF"/>
    <w:rsid w:val="335408B7"/>
    <w:rsid w:val="33607B22"/>
    <w:rsid w:val="33640A60"/>
    <w:rsid w:val="33646448"/>
    <w:rsid w:val="33650044"/>
    <w:rsid w:val="337E1DD7"/>
    <w:rsid w:val="3382372B"/>
    <w:rsid w:val="33847671"/>
    <w:rsid w:val="338A69CE"/>
    <w:rsid w:val="339568F3"/>
    <w:rsid w:val="33996030"/>
    <w:rsid w:val="33B24F6B"/>
    <w:rsid w:val="33B77856"/>
    <w:rsid w:val="33CF545B"/>
    <w:rsid w:val="33CF65CE"/>
    <w:rsid w:val="33D35FD4"/>
    <w:rsid w:val="33D814F1"/>
    <w:rsid w:val="33D8242B"/>
    <w:rsid w:val="33DE2B97"/>
    <w:rsid w:val="33DF0EC1"/>
    <w:rsid w:val="33EA3DF1"/>
    <w:rsid w:val="33EC4953"/>
    <w:rsid w:val="33EE177E"/>
    <w:rsid w:val="33EE3BC1"/>
    <w:rsid w:val="33F16DF4"/>
    <w:rsid w:val="33F17DF2"/>
    <w:rsid w:val="33FF1203"/>
    <w:rsid w:val="33FF4DC3"/>
    <w:rsid w:val="34074EDC"/>
    <w:rsid w:val="34091427"/>
    <w:rsid w:val="340E11C1"/>
    <w:rsid w:val="34252223"/>
    <w:rsid w:val="34364BEE"/>
    <w:rsid w:val="3444678B"/>
    <w:rsid w:val="344B5103"/>
    <w:rsid w:val="346657D1"/>
    <w:rsid w:val="34685535"/>
    <w:rsid w:val="346A643F"/>
    <w:rsid w:val="346B430F"/>
    <w:rsid w:val="346D61C2"/>
    <w:rsid w:val="347010F4"/>
    <w:rsid w:val="34717A3F"/>
    <w:rsid w:val="3477107F"/>
    <w:rsid w:val="347831B0"/>
    <w:rsid w:val="347A5064"/>
    <w:rsid w:val="348258A1"/>
    <w:rsid w:val="348D4EB8"/>
    <w:rsid w:val="34902B02"/>
    <w:rsid w:val="349772CB"/>
    <w:rsid w:val="34987CE8"/>
    <w:rsid w:val="349C6060"/>
    <w:rsid w:val="34A30F38"/>
    <w:rsid w:val="34A56135"/>
    <w:rsid w:val="34BC284D"/>
    <w:rsid w:val="34CE7506"/>
    <w:rsid w:val="34D100D1"/>
    <w:rsid w:val="34D166CC"/>
    <w:rsid w:val="34D73471"/>
    <w:rsid w:val="34DC10D2"/>
    <w:rsid w:val="34DC416D"/>
    <w:rsid w:val="34E01EFA"/>
    <w:rsid w:val="34E45A3E"/>
    <w:rsid w:val="34F034F2"/>
    <w:rsid w:val="34F17786"/>
    <w:rsid w:val="34F91E0A"/>
    <w:rsid w:val="34FC2DB9"/>
    <w:rsid w:val="34FD409A"/>
    <w:rsid w:val="35052BFD"/>
    <w:rsid w:val="35064DAD"/>
    <w:rsid w:val="35075D23"/>
    <w:rsid w:val="35190ACD"/>
    <w:rsid w:val="352058FC"/>
    <w:rsid w:val="35205D27"/>
    <w:rsid w:val="35234FBF"/>
    <w:rsid w:val="35494B25"/>
    <w:rsid w:val="354D1E63"/>
    <w:rsid w:val="35500378"/>
    <w:rsid w:val="3551676E"/>
    <w:rsid w:val="35620048"/>
    <w:rsid w:val="35672CB7"/>
    <w:rsid w:val="356B384A"/>
    <w:rsid w:val="356C0A31"/>
    <w:rsid w:val="356C67A4"/>
    <w:rsid w:val="356E7F35"/>
    <w:rsid w:val="35793D31"/>
    <w:rsid w:val="357A2DC4"/>
    <w:rsid w:val="358558EF"/>
    <w:rsid w:val="358C3C22"/>
    <w:rsid w:val="35954DD2"/>
    <w:rsid w:val="35A01D4D"/>
    <w:rsid w:val="35A04CF9"/>
    <w:rsid w:val="35B00F40"/>
    <w:rsid w:val="35B153F0"/>
    <w:rsid w:val="35B41503"/>
    <w:rsid w:val="35B808D5"/>
    <w:rsid w:val="35BC5407"/>
    <w:rsid w:val="35C55358"/>
    <w:rsid w:val="35CF0C3E"/>
    <w:rsid w:val="35EF5E2E"/>
    <w:rsid w:val="35F277F0"/>
    <w:rsid w:val="35F97571"/>
    <w:rsid w:val="35FD2296"/>
    <w:rsid w:val="35FE3CD9"/>
    <w:rsid w:val="36030F50"/>
    <w:rsid w:val="36037266"/>
    <w:rsid w:val="36104CFD"/>
    <w:rsid w:val="361100CB"/>
    <w:rsid w:val="361F4749"/>
    <w:rsid w:val="362A3553"/>
    <w:rsid w:val="36455700"/>
    <w:rsid w:val="36490CF2"/>
    <w:rsid w:val="365E5C59"/>
    <w:rsid w:val="365F55B0"/>
    <w:rsid w:val="366D145E"/>
    <w:rsid w:val="36795D1F"/>
    <w:rsid w:val="36892343"/>
    <w:rsid w:val="369400AF"/>
    <w:rsid w:val="36943313"/>
    <w:rsid w:val="369C60E4"/>
    <w:rsid w:val="36A05A74"/>
    <w:rsid w:val="36A4449B"/>
    <w:rsid w:val="36A52B0C"/>
    <w:rsid w:val="36B17D2C"/>
    <w:rsid w:val="36B61B37"/>
    <w:rsid w:val="36BA72CA"/>
    <w:rsid w:val="36BE7426"/>
    <w:rsid w:val="36CB3420"/>
    <w:rsid w:val="36CB4A96"/>
    <w:rsid w:val="36CD5E62"/>
    <w:rsid w:val="36DB351F"/>
    <w:rsid w:val="36EA22FE"/>
    <w:rsid w:val="36F42583"/>
    <w:rsid w:val="36FA7156"/>
    <w:rsid w:val="370013A3"/>
    <w:rsid w:val="370D5F0E"/>
    <w:rsid w:val="3710376B"/>
    <w:rsid w:val="37116D67"/>
    <w:rsid w:val="3714698C"/>
    <w:rsid w:val="371B7A35"/>
    <w:rsid w:val="371C2E0A"/>
    <w:rsid w:val="372205B0"/>
    <w:rsid w:val="37246C24"/>
    <w:rsid w:val="372C50DA"/>
    <w:rsid w:val="374D2642"/>
    <w:rsid w:val="3760673E"/>
    <w:rsid w:val="376F2A6C"/>
    <w:rsid w:val="376F7041"/>
    <w:rsid w:val="3774170F"/>
    <w:rsid w:val="377658C3"/>
    <w:rsid w:val="378268CD"/>
    <w:rsid w:val="37836F60"/>
    <w:rsid w:val="379106B3"/>
    <w:rsid w:val="37A005B6"/>
    <w:rsid w:val="37B07B13"/>
    <w:rsid w:val="37B85D8D"/>
    <w:rsid w:val="37BE4E48"/>
    <w:rsid w:val="37DD2E3C"/>
    <w:rsid w:val="37DF0A44"/>
    <w:rsid w:val="37E9157B"/>
    <w:rsid w:val="37EF6AB2"/>
    <w:rsid w:val="37FF2EB3"/>
    <w:rsid w:val="38093696"/>
    <w:rsid w:val="38136098"/>
    <w:rsid w:val="38137561"/>
    <w:rsid w:val="38137DC0"/>
    <w:rsid w:val="38186F06"/>
    <w:rsid w:val="381F383A"/>
    <w:rsid w:val="3820753D"/>
    <w:rsid w:val="38223A1A"/>
    <w:rsid w:val="38256360"/>
    <w:rsid w:val="38301FA7"/>
    <w:rsid w:val="383370CF"/>
    <w:rsid w:val="38354EEE"/>
    <w:rsid w:val="38376B36"/>
    <w:rsid w:val="3838295D"/>
    <w:rsid w:val="383F2CAD"/>
    <w:rsid w:val="384F57D5"/>
    <w:rsid w:val="38794A37"/>
    <w:rsid w:val="387E5011"/>
    <w:rsid w:val="38B250FB"/>
    <w:rsid w:val="38C81535"/>
    <w:rsid w:val="38CF5CE8"/>
    <w:rsid w:val="38D47D78"/>
    <w:rsid w:val="38D95317"/>
    <w:rsid w:val="38E16E80"/>
    <w:rsid w:val="38E7727F"/>
    <w:rsid w:val="38FB1F38"/>
    <w:rsid w:val="3909601B"/>
    <w:rsid w:val="393438AD"/>
    <w:rsid w:val="39363C0F"/>
    <w:rsid w:val="393B365C"/>
    <w:rsid w:val="39424FBE"/>
    <w:rsid w:val="39486835"/>
    <w:rsid w:val="39677E7E"/>
    <w:rsid w:val="396E234C"/>
    <w:rsid w:val="396E2BE5"/>
    <w:rsid w:val="397835AA"/>
    <w:rsid w:val="39796D0D"/>
    <w:rsid w:val="397B5D4F"/>
    <w:rsid w:val="39817622"/>
    <w:rsid w:val="398C1D02"/>
    <w:rsid w:val="39911BEA"/>
    <w:rsid w:val="39952475"/>
    <w:rsid w:val="399E4BF2"/>
    <w:rsid w:val="39A02EF0"/>
    <w:rsid w:val="39A266F3"/>
    <w:rsid w:val="39AE144F"/>
    <w:rsid w:val="39BE4094"/>
    <w:rsid w:val="39CF6C0F"/>
    <w:rsid w:val="39DB368A"/>
    <w:rsid w:val="39DD2CF5"/>
    <w:rsid w:val="39E31191"/>
    <w:rsid w:val="39F33F4B"/>
    <w:rsid w:val="39F40993"/>
    <w:rsid w:val="39FD5B0A"/>
    <w:rsid w:val="39FF678E"/>
    <w:rsid w:val="3A011959"/>
    <w:rsid w:val="3A022261"/>
    <w:rsid w:val="3A060E65"/>
    <w:rsid w:val="3A172531"/>
    <w:rsid w:val="3A1A4386"/>
    <w:rsid w:val="3A1A622A"/>
    <w:rsid w:val="3A250A18"/>
    <w:rsid w:val="3A27302E"/>
    <w:rsid w:val="3A2D5D96"/>
    <w:rsid w:val="3A322CBA"/>
    <w:rsid w:val="3A3B66E3"/>
    <w:rsid w:val="3A404393"/>
    <w:rsid w:val="3A494AD0"/>
    <w:rsid w:val="3A547FC0"/>
    <w:rsid w:val="3A576BC1"/>
    <w:rsid w:val="3A5C0AFB"/>
    <w:rsid w:val="3A5F53EF"/>
    <w:rsid w:val="3A644AD6"/>
    <w:rsid w:val="3A6774E0"/>
    <w:rsid w:val="3A6878D1"/>
    <w:rsid w:val="3A7C33AB"/>
    <w:rsid w:val="3A806D2B"/>
    <w:rsid w:val="3A854E64"/>
    <w:rsid w:val="3A9326E3"/>
    <w:rsid w:val="3A9A5301"/>
    <w:rsid w:val="3AA060BA"/>
    <w:rsid w:val="3AA37A8F"/>
    <w:rsid w:val="3AA639D3"/>
    <w:rsid w:val="3AA95CE9"/>
    <w:rsid w:val="3AAD5102"/>
    <w:rsid w:val="3AB55407"/>
    <w:rsid w:val="3ABF3109"/>
    <w:rsid w:val="3AC752D3"/>
    <w:rsid w:val="3AC849D1"/>
    <w:rsid w:val="3ACC157E"/>
    <w:rsid w:val="3ACE1B84"/>
    <w:rsid w:val="3ACE2D55"/>
    <w:rsid w:val="3AD03F06"/>
    <w:rsid w:val="3ADC4D83"/>
    <w:rsid w:val="3AEB0095"/>
    <w:rsid w:val="3AED51A2"/>
    <w:rsid w:val="3B0E4E4A"/>
    <w:rsid w:val="3B1A7335"/>
    <w:rsid w:val="3B280821"/>
    <w:rsid w:val="3B3179BC"/>
    <w:rsid w:val="3B3413F2"/>
    <w:rsid w:val="3B350172"/>
    <w:rsid w:val="3B3620AF"/>
    <w:rsid w:val="3B486E59"/>
    <w:rsid w:val="3B4A66AA"/>
    <w:rsid w:val="3B534435"/>
    <w:rsid w:val="3B591D03"/>
    <w:rsid w:val="3B5F53BE"/>
    <w:rsid w:val="3B615311"/>
    <w:rsid w:val="3B6C6393"/>
    <w:rsid w:val="3B7E7B78"/>
    <w:rsid w:val="3B875519"/>
    <w:rsid w:val="3B895BC5"/>
    <w:rsid w:val="3B94126D"/>
    <w:rsid w:val="3B9A52BF"/>
    <w:rsid w:val="3BA63758"/>
    <w:rsid w:val="3BAB4A0B"/>
    <w:rsid w:val="3BB67921"/>
    <w:rsid w:val="3BC239A7"/>
    <w:rsid w:val="3BC41189"/>
    <w:rsid w:val="3BC477F3"/>
    <w:rsid w:val="3BC52EE4"/>
    <w:rsid w:val="3BC531A1"/>
    <w:rsid w:val="3BC65961"/>
    <w:rsid w:val="3BDF37C4"/>
    <w:rsid w:val="3BE10F79"/>
    <w:rsid w:val="3BE6135C"/>
    <w:rsid w:val="3BF22B84"/>
    <w:rsid w:val="3BF44800"/>
    <w:rsid w:val="3C0C78C3"/>
    <w:rsid w:val="3C141679"/>
    <w:rsid w:val="3C182F0A"/>
    <w:rsid w:val="3C1962CB"/>
    <w:rsid w:val="3C290F60"/>
    <w:rsid w:val="3C2A4592"/>
    <w:rsid w:val="3C2A4B26"/>
    <w:rsid w:val="3C2B4C99"/>
    <w:rsid w:val="3C2C62B0"/>
    <w:rsid w:val="3C4164A0"/>
    <w:rsid w:val="3C425159"/>
    <w:rsid w:val="3C440A37"/>
    <w:rsid w:val="3C4F57D3"/>
    <w:rsid w:val="3C5209CF"/>
    <w:rsid w:val="3C587A0E"/>
    <w:rsid w:val="3C595BE4"/>
    <w:rsid w:val="3C5F66DB"/>
    <w:rsid w:val="3C611037"/>
    <w:rsid w:val="3C660DD9"/>
    <w:rsid w:val="3C6B404F"/>
    <w:rsid w:val="3C715EF1"/>
    <w:rsid w:val="3C723242"/>
    <w:rsid w:val="3C7D79E2"/>
    <w:rsid w:val="3C812FA2"/>
    <w:rsid w:val="3C864486"/>
    <w:rsid w:val="3C8A7715"/>
    <w:rsid w:val="3C93750F"/>
    <w:rsid w:val="3CA24D28"/>
    <w:rsid w:val="3CAD29DE"/>
    <w:rsid w:val="3CB20D24"/>
    <w:rsid w:val="3CB66E91"/>
    <w:rsid w:val="3CBC5C18"/>
    <w:rsid w:val="3CC007E5"/>
    <w:rsid w:val="3CC26137"/>
    <w:rsid w:val="3CC547FA"/>
    <w:rsid w:val="3CC6478A"/>
    <w:rsid w:val="3CCD04F0"/>
    <w:rsid w:val="3CD83C72"/>
    <w:rsid w:val="3CE25824"/>
    <w:rsid w:val="3CE92296"/>
    <w:rsid w:val="3CED1CD7"/>
    <w:rsid w:val="3CEF3489"/>
    <w:rsid w:val="3CF36C6D"/>
    <w:rsid w:val="3D063BC5"/>
    <w:rsid w:val="3D117C94"/>
    <w:rsid w:val="3D1725A9"/>
    <w:rsid w:val="3D1A4E15"/>
    <w:rsid w:val="3D452A8B"/>
    <w:rsid w:val="3D5000CF"/>
    <w:rsid w:val="3D592107"/>
    <w:rsid w:val="3D5D0B04"/>
    <w:rsid w:val="3D6A5B5E"/>
    <w:rsid w:val="3D716306"/>
    <w:rsid w:val="3D72232C"/>
    <w:rsid w:val="3D8B34FD"/>
    <w:rsid w:val="3D8B47FA"/>
    <w:rsid w:val="3D8B7668"/>
    <w:rsid w:val="3D8C20ED"/>
    <w:rsid w:val="3D9113C8"/>
    <w:rsid w:val="3D91378B"/>
    <w:rsid w:val="3D943064"/>
    <w:rsid w:val="3D967A0F"/>
    <w:rsid w:val="3D973144"/>
    <w:rsid w:val="3DA06837"/>
    <w:rsid w:val="3DAB27D3"/>
    <w:rsid w:val="3DAE5E50"/>
    <w:rsid w:val="3DB079F0"/>
    <w:rsid w:val="3DC245B0"/>
    <w:rsid w:val="3DC32A92"/>
    <w:rsid w:val="3DC565A1"/>
    <w:rsid w:val="3DCA14B5"/>
    <w:rsid w:val="3DCC15F3"/>
    <w:rsid w:val="3DDD0423"/>
    <w:rsid w:val="3DDD5536"/>
    <w:rsid w:val="3DE15D3B"/>
    <w:rsid w:val="3DEC5515"/>
    <w:rsid w:val="3DF379D3"/>
    <w:rsid w:val="3DF96D08"/>
    <w:rsid w:val="3E044902"/>
    <w:rsid w:val="3E05750C"/>
    <w:rsid w:val="3E0B6D77"/>
    <w:rsid w:val="3E113BD8"/>
    <w:rsid w:val="3E114C86"/>
    <w:rsid w:val="3E1341B2"/>
    <w:rsid w:val="3E1435D5"/>
    <w:rsid w:val="3E2133A1"/>
    <w:rsid w:val="3E26153E"/>
    <w:rsid w:val="3E3051F5"/>
    <w:rsid w:val="3E306EC2"/>
    <w:rsid w:val="3E401771"/>
    <w:rsid w:val="3E4307FB"/>
    <w:rsid w:val="3E4E07C1"/>
    <w:rsid w:val="3E51549F"/>
    <w:rsid w:val="3E562529"/>
    <w:rsid w:val="3E580EE9"/>
    <w:rsid w:val="3E5A05B0"/>
    <w:rsid w:val="3E5A7603"/>
    <w:rsid w:val="3E615FE8"/>
    <w:rsid w:val="3E6620CA"/>
    <w:rsid w:val="3E675C2B"/>
    <w:rsid w:val="3E7F5B0A"/>
    <w:rsid w:val="3E810293"/>
    <w:rsid w:val="3E8751D0"/>
    <w:rsid w:val="3E897817"/>
    <w:rsid w:val="3EA07453"/>
    <w:rsid w:val="3EAC1216"/>
    <w:rsid w:val="3EB50AB8"/>
    <w:rsid w:val="3EB53B70"/>
    <w:rsid w:val="3ECC18BC"/>
    <w:rsid w:val="3ED47F8E"/>
    <w:rsid w:val="3ED9298A"/>
    <w:rsid w:val="3EDF6C56"/>
    <w:rsid w:val="3EE25E68"/>
    <w:rsid w:val="3EF13B60"/>
    <w:rsid w:val="3EFF5F9A"/>
    <w:rsid w:val="3F0F7FB5"/>
    <w:rsid w:val="3F107AB4"/>
    <w:rsid w:val="3F1422CA"/>
    <w:rsid w:val="3F161E4F"/>
    <w:rsid w:val="3F165762"/>
    <w:rsid w:val="3F2105ED"/>
    <w:rsid w:val="3F231B7A"/>
    <w:rsid w:val="3F2D4770"/>
    <w:rsid w:val="3F304A31"/>
    <w:rsid w:val="3F3620AA"/>
    <w:rsid w:val="3F3756DB"/>
    <w:rsid w:val="3F4257F2"/>
    <w:rsid w:val="3F547BB0"/>
    <w:rsid w:val="3F5E4197"/>
    <w:rsid w:val="3F5F74C2"/>
    <w:rsid w:val="3F783582"/>
    <w:rsid w:val="3F7A0552"/>
    <w:rsid w:val="3F7F4296"/>
    <w:rsid w:val="3F84470C"/>
    <w:rsid w:val="3F955E11"/>
    <w:rsid w:val="3F9D3443"/>
    <w:rsid w:val="3F9E59AC"/>
    <w:rsid w:val="3FA3084A"/>
    <w:rsid w:val="3FB003BF"/>
    <w:rsid w:val="3FB155D1"/>
    <w:rsid w:val="3FB577A0"/>
    <w:rsid w:val="3FB86986"/>
    <w:rsid w:val="3FBF526B"/>
    <w:rsid w:val="3FC529B2"/>
    <w:rsid w:val="3FC7029E"/>
    <w:rsid w:val="3FD11CBD"/>
    <w:rsid w:val="3FD20324"/>
    <w:rsid w:val="3FD23ED2"/>
    <w:rsid w:val="3FD609B9"/>
    <w:rsid w:val="3FDE0BE8"/>
    <w:rsid w:val="3FE34433"/>
    <w:rsid w:val="3FEA7D22"/>
    <w:rsid w:val="3FEB4928"/>
    <w:rsid w:val="3FEE3FDB"/>
    <w:rsid w:val="3FF1677C"/>
    <w:rsid w:val="3FF256F0"/>
    <w:rsid w:val="3FFF3812"/>
    <w:rsid w:val="40024E64"/>
    <w:rsid w:val="40043E86"/>
    <w:rsid w:val="400A22B5"/>
    <w:rsid w:val="400C603A"/>
    <w:rsid w:val="400D3542"/>
    <w:rsid w:val="40100DFD"/>
    <w:rsid w:val="402660E0"/>
    <w:rsid w:val="402A6652"/>
    <w:rsid w:val="402C59D0"/>
    <w:rsid w:val="402E20FA"/>
    <w:rsid w:val="40413061"/>
    <w:rsid w:val="405C5AF4"/>
    <w:rsid w:val="405C7226"/>
    <w:rsid w:val="40625567"/>
    <w:rsid w:val="40685A04"/>
    <w:rsid w:val="409149CE"/>
    <w:rsid w:val="409518F4"/>
    <w:rsid w:val="409F6E18"/>
    <w:rsid w:val="40AA7864"/>
    <w:rsid w:val="40AD49CA"/>
    <w:rsid w:val="40AE6AF7"/>
    <w:rsid w:val="40BF1445"/>
    <w:rsid w:val="40D9603E"/>
    <w:rsid w:val="40F00523"/>
    <w:rsid w:val="40FE15B5"/>
    <w:rsid w:val="410E28E2"/>
    <w:rsid w:val="412A60F6"/>
    <w:rsid w:val="41310143"/>
    <w:rsid w:val="41317EA2"/>
    <w:rsid w:val="41365F3C"/>
    <w:rsid w:val="41396AEB"/>
    <w:rsid w:val="413B31AF"/>
    <w:rsid w:val="413C25B8"/>
    <w:rsid w:val="41414B56"/>
    <w:rsid w:val="41445377"/>
    <w:rsid w:val="414B25E8"/>
    <w:rsid w:val="41513169"/>
    <w:rsid w:val="41544A2C"/>
    <w:rsid w:val="4156580D"/>
    <w:rsid w:val="41591874"/>
    <w:rsid w:val="41597430"/>
    <w:rsid w:val="41604FA0"/>
    <w:rsid w:val="4166491E"/>
    <w:rsid w:val="416B68E8"/>
    <w:rsid w:val="416E740A"/>
    <w:rsid w:val="417411F1"/>
    <w:rsid w:val="417B4805"/>
    <w:rsid w:val="417E3E86"/>
    <w:rsid w:val="417F0FCC"/>
    <w:rsid w:val="41833A09"/>
    <w:rsid w:val="418F5F7F"/>
    <w:rsid w:val="419013CC"/>
    <w:rsid w:val="41916DB3"/>
    <w:rsid w:val="4198636E"/>
    <w:rsid w:val="419970A8"/>
    <w:rsid w:val="41A04903"/>
    <w:rsid w:val="41A117EC"/>
    <w:rsid w:val="41A675D3"/>
    <w:rsid w:val="41AC13FD"/>
    <w:rsid w:val="41B0428C"/>
    <w:rsid w:val="41CB48C6"/>
    <w:rsid w:val="41CC6899"/>
    <w:rsid w:val="41CD3221"/>
    <w:rsid w:val="41D124E8"/>
    <w:rsid w:val="41D60826"/>
    <w:rsid w:val="41D91F39"/>
    <w:rsid w:val="41DB7428"/>
    <w:rsid w:val="41E26D32"/>
    <w:rsid w:val="41E27CF0"/>
    <w:rsid w:val="41E34F25"/>
    <w:rsid w:val="41EB50EB"/>
    <w:rsid w:val="41EC7467"/>
    <w:rsid w:val="42006902"/>
    <w:rsid w:val="420C1893"/>
    <w:rsid w:val="42101092"/>
    <w:rsid w:val="421A3DB3"/>
    <w:rsid w:val="422B1283"/>
    <w:rsid w:val="422C65F3"/>
    <w:rsid w:val="422E79E0"/>
    <w:rsid w:val="4242787B"/>
    <w:rsid w:val="42501109"/>
    <w:rsid w:val="4257167A"/>
    <w:rsid w:val="42596352"/>
    <w:rsid w:val="425B66BD"/>
    <w:rsid w:val="425F28D4"/>
    <w:rsid w:val="42707C93"/>
    <w:rsid w:val="42771E67"/>
    <w:rsid w:val="427B2F6B"/>
    <w:rsid w:val="42817841"/>
    <w:rsid w:val="428A1C77"/>
    <w:rsid w:val="4296279A"/>
    <w:rsid w:val="429E2F65"/>
    <w:rsid w:val="429F3386"/>
    <w:rsid w:val="429F6144"/>
    <w:rsid w:val="42A40617"/>
    <w:rsid w:val="42A96174"/>
    <w:rsid w:val="42B2376A"/>
    <w:rsid w:val="42B260EB"/>
    <w:rsid w:val="42BA2CBA"/>
    <w:rsid w:val="42BC4F98"/>
    <w:rsid w:val="42BE0812"/>
    <w:rsid w:val="42BF76D9"/>
    <w:rsid w:val="42C00537"/>
    <w:rsid w:val="42C41F8C"/>
    <w:rsid w:val="42CA1490"/>
    <w:rsid w:val="42D57BB4"/>
    <w:rsid w:val="42DD1DB6"/>
    <w:rsid w:val="42E901AF"/>
    <w:rsid w:val="42EA6538"/>
    <w:rsid w:val="42F33F68"/>
    <w:rsid w:val="42F918BA"/>
    <w:rsid w:val="430A6094"/>
    <w:rsid w:val="430E7E72"/>
    <w:rsid w:val="431065CD"/>
    <w:rsid w:val="431B6E6B"/>
    <w:rsid w:val="431C6D94"/>
    <w:rsid w:val="431F0EE5"/>
    <w:rsid w:val="43206E97"/>
    <w:rsid w:val="432073F2"/>
    <w:rsid w:val="432872D8"/>
    <w:rsid w:val="43423BED"/>
    <w:rsid w:val="43557E23"/>
    <w:rsid w:val="436831D0"/>
    <w:rsid w:val="436B5FF6"/>
    <w:rsid w:val="436E601D"/>
    <w:rsid w:val="43870570"/>
    <w:rsid w:val="43924B1A"/>
    <w:rsid w:val="439F5605"/>
    <w:rsid w:val="43A254C4"/>
    <w:rsid w:val="43A359F2"/>
    <w:rsid w:val="43A64A0A"/>
    <w:rsid w:val="43A757A4"/>
    <w:rsid w:val="43A95097"/>
    <w:rsid w:val="43B30AD8"/>
    <w:rsid w:val="43B4196C"/>
    <w:rsid w:val="43B563C6"/>
    <w:rsid w:val="43B82A75"/>
    <w:rsid w:val="43BD23F0"/>
    <w:rsid w:val="43C41712"/>
    <w:rsid w:val="43C83946"/>
    <w:rsid w:val="43CB0217"/>
    <w:rsid w:val="43DC36C6"/>
    <w:rsid w:val="43E04D7A"/>
    <w:rsid w:val="43E12DAA"/>
    <w:rsid w:val="43E22F12"/>
    <w:rsid w:val="43E509C8"/>
    <w:rsid w:val="43E60471"/>
    <w:rsid w:val="43F201DB"/>
    <w:rsid w:val="44001321"/>
    <w:rsid w:val="440117B8"/>
    <w:rsid w:val="44076D73"/>
    <w:rsid w:val="440A511A"/>
    <w:rsid w:val="441C63C4"/>
    <w:rsid w:val="44213949"/>
    <w:rsid w:val="44233F2A"/>
    <w:rsid w:val="444057CD"/>
    <w:rsid w:val="44463885"/>
    <w:rsid w:val="444A10D0"/>
    <w:rsid w:val="444C6954"/>
    <w:rsid w:val="44547B1F"/>
    <w:rsid w:val="445B512B"/>
    <w:rsid w:val="44643B4F"/>
    <w:rsid w:val="44650948"/>
    <w:rsid w:val="448218F2"/>
    <w:rsid w:val="44851FF6"/>
    <w:rsid w:val="449316F4"/>
    <w:rsid w:val="449E4C2B"/>
    <w:rsid w:val="44A35891"/>
    <w:rsid w:val="44B94EB0"/>
    <w:rsid w:val="44C32303"/>
    <w:rsid w:val="44C709A7"/>
    <w:rsid w:val="44CE5553"/>
    <w:rsid w:val="44D353D7"/>
    <w:rsid w:val="44D8392B"/>
    <w:rsid w:val="44DA5321"/>
    <w:rsid w:val="44E32484"/>
    <w:rsid w:val="44EA2D6D"/>
    <w:rsid w:val="44EA7ED7"/>
    <w:rsid w:val="44EC141C"/>
    <w:rsid w:val="450D3E5F"/>
    <w:rsid w:val="45163322"/>
    <w:rsid w:val="45247E10"/>
    <w:rsid w:val="45273645"/>
    <w:rsid w:val="452C226B"/>
    <w:rsid w:val="452C4ED5"/>
    <w:rsid w:val="45390077"/>
    <w:rsid w:val="453D3EB3"/>
    <w:rsid w:val="45457362"/>
    <w:rsid w:val="455156BF"/>
    <w:rsid w:val="45517A1C"/>
    <w:rsid w:val="455701FF"/>
    <w:rsid w:val="455C3711"/>
    <w:rsid w:val="45754E9D"/>
    <w:rsid w:val="457646F1"/>
    <w:rsid w:val="458166CE"/>
    <w:rsid w:val="458A658C"/>
    <w:rsid w:val="458E04D3"/>
    <w:rsid w:val="459778E6"/>
    <w:rsid w:val="459B07E5"/>
    <w:rsid w:val="45AB4A02"/>
    <w:rsid w:val="45B361BD"/>
    <w:rsid w:val="45B8775E"/>
    <w:rsid w:val="45BF7D07"/>
    <w:rsid w:val="45CA0AA8"/>
    <w:rsid w:val="45DE0DA0"/>
    <w:rsid w:val="45DF0C4F"/>
    <w:rsid w:val="45E05791"/>
    <w:rsid w:val="45E114C8"/>
    <w:rsid w:val="45E75E6C"/>
    <w:rsid w:val="46035BAA"/>
    <w:rsid w:val="46124F53"/>
    <w:rsid w:val="461A6DEB"/>
    <w:rsid w:val="461D0AA9"/>
    <w:rsid w:val="46287020"/>
    <w:rsid w:val="462F1D51"/>
    <w:rsid w:val="4653233D"/>
    <w:rsid w:val="46570C51"/>
    <w:rsid w:val="46581023"/>
    <w:rsid w:val="465D2E94"/>
    <w:rsid w:val="46644D47"/>
    <w:rsid w:val="466B5722"/>
    <w:rsid w:val="4675696A"/>
    <w:rsid w:val="4685748E"/>
    <w:rsid w:val="468760C6"/>
    <w:rsid w:val="468D6101"/>
    <w:rsid w:val="46910A5C"/>
    <w:rsid w:val="46970176"/>
    <w:rsid w:val="46A631B2"/>
    <w:rsid w:val="46AB4555"/>
    <w:rsid w:val="46B07EBE"/>
    <w:rsid w:val="46B53112"/>
    <w:rsid w:val="46BA7413"/>
    <w:rsid w:val="46BB0AE3"/>
    <w:rsid w:val="46BC0C6D"/>
    <w:rsid w:val="46BC4244"/>
    <w:rsid w:val="46BC7EC7"/>
    <w:rsid w:val="46BD7B45"/>
    <w:rsid w:val="46E45037"/>
    <w:rsid w:val="46E84E3A"/>
    <w:rsid w:val="47001602"/>
    <w:rsid w:val="470F284F"/>
    <w:rsid w:val="4713075E"/>
    <w:rsid w:val="471A64E4"/>
    <w:rsid w:val="471C1096"/>
    <w:rsid w:val="47200834"/>
    <w:rsid w:val="472D02FF"/>
    <w:rsid w:val="47310B21"/>
    <w:rsid w:val="473135A5"/>
    <w:rsid w:val="473812F3"/>
    <w:rsid w:val="47385995"/>
    <w:rsid w:val="47491301"/>
    <w:rsid w:val="475244AF"/>
    <w:rsid w:val="475342A0"/>
    <w:rsid w:val="47575090"/>
    <w:rsid w:val="47747DDA"/>
    <w:rsid w:val="47803061"/>
    <w:rsid w:val="478168DF"/>
    <w:rsid w:val="478259F2"/>
    <w:rsid w:val="478A4A35"/>
    <w:rsid w:val="478B081B"/>
    <w:rsid w:val="47A56E55"/>
    <w:rsid w:val="47AC2707"/>
    <w:rsid w:val="47AD1482"/>
    <w:rsid w:val="47AF256C"/>
    <w:rsid w:val="47B24DAE"/>
    <w:rsid w:val="47C34EB2"/>
    <w:rsid w:val="47C35780"/>
    <w:rsid w:val="47C81495"/>
    <w:rsid w:val="47CA6972"/>
    <w:rsid w:val="47D0484B"/>
    <w:rsid w:val="47D111E5"/>
    <w:rsid w:val="47D20A8F"/>
    <w:rsid w:val="47DC277C"/>
    <w:rsid w:val="47DF7F60"/>
    <w:rsid w:val="47E4612A"/>
    <w:rsid w:val="47E73FE9"/>
    <w:rsid w:val="47F534B7"/>
    <w:rsid w:val="47FF57E1"/>
    <w:rsid w:val="48031155"/>
    <w:rsid w:val="480A3001"/>
    <w:rsid w:val="480A5A12"/>
    <w:rsid w:val="480E1CC1"/>
    <w:rsid w:val="481974B4"/>
    <w:rsid w:val="481C677C"/>
    <w:rsid w:val="481F7E6E"/>
    <w:rsid w:val="482631DF"/>
    <w:rsid w:val="4827079C"/>
    <w:rsid w:val="482B507B"/>
    <w:rsid w:val="483F0E99"/>
    <w:rsid w:val="483F1A18"/>
    <w:rsid w:val="4842011F"/>
    <w:rsid w:val="48462C4B"/>
    <w:rsid w:val="485561F8"/>
    <w:rsid w:val="485636A7"/>
    <w:rsid w:val="485A0596"/>
    <w:rsid w:val="48642D87"/>
    <w:rsid w:val="486C080C"/>
    <w:rsid w:val="486D0638"/>
    <w:rsid w:val="487C49D9"/>
    <w:rsid w:val="48821D13"/>
    <w:rsid w:val="488663FF"/>
    <w:rsid w:val="488D312D"/>
    <w:rsid w:val="48A15125"/>
    <w:rsid w:val="48C249A6"/>
    <w:rsid w:val="48C26994"/>
    <w:rsid w:val="48C87048"/>
    <w:rsid w:val="48CB31D6"/>
    <w:rsid w:val="48D2135B"/>
    <w:rsid w:val="48DB32B9"/>
    <w:rsid w:val="48DC57EC"/>
    <w:rsid w:val="48DE47BA"/>
    <w:rsid w:val="48E125A3"/>
    <w:rsid w:val="48EE590F"/>
    <w:rsid w:val="48F9198C"/>
    <w:rsid w:val="48FC38AF"/>
    <w:rsid w:val="49024E57"/>
    <w:rsid w:val="49077763"/>
    <w:rsid w:val="490C25CA"/>
    <w:rsid w:val="49155FB7"/>
    <w:rsid w:val="491C7305"/>
    <w:rsid w:val="491E440D"/>
    <w:rsid w:val="492571F1"/>
    <w:rsid w:val="492C4B46"/>
    <w:rsid w:val="492F6A64"/>
    <w:rsid w:val="493A451B"/>
    <w:rsid w:val="4942346A"/>
    <w:rsid w:val="49564B11"/>
    <w:rsid w:val="4956765B"/>
    <w:rsid w:val="4959273A"/>
    <w:rsid w:val="495A4D3B"/>
    <w:rsid w:val="49615E17"/>
    <w:rsid w:val="496C6DB6"/>
    <w:rsid w:val="496D565D"/>
    <w:rsid w:val="49886FF9"/>
    <w:rsid w:val="49A06E7B"/>
    <w:rsid w:val="49A51E38"/>
    <w:rsid w:val="49AB7F31"/>
    <w:rsid w:val="49AF3061"/>
    <w:rsid w:val="49BE08AF"/>
    <w:rsid w:val="49BE672E"/>
    <w:rsid w:val="49BF699A"/>
    <w:rsid w:val="49CB1CF0"/>
    <w:rsid w:val="49CE7170"/>
    <w:rsid w:val="49CF4D9E"/>
    <w:rsid w:val="49D02EB7"/>
    <w:rsid w:val="49D05940"/>
    <w:rsid w:val="49D52775"/>
    <w:rsid w:val="49D973F1"/>
    <w:rsid w:val="49E22D58"/>
    <w:rsid w:val="49E2671A"/>
    <w:rsid w:val="49E31B91"/>
    <w:rsid w:val="49E36F04"/>
    <w:rsid w:val="49F27C69"/>
    <w:rsid w:val="49F34F0D"/>
    <w:rsid w:val="49F758D6"/>
    <w:rsid w:val="4A0D0F3D"/>
    <w:rsid w:val="4A132AA8"/>
    <w:rsid w:val="4A170E51"/>
    <w:rsid w:val="4A1D4CE5"/>
    <w:rsid w:val="4A2D236A"/>
    <w:rsid w:val="4A4C449E"/>
    <w:rsid w:val="4A4E62D0"/>
    <w:rsid w:val="4A57028F"/>
    <w:rsid w:val="4A611EDB"/>
    <w:rsid w:val="4A7354B5"/>
    <w:rsid w:val="4A8A697D"/>
    <w:rsid w:val="4A8C2FDA"/>
    <w:rsid w:val="4A9312AA"/>
    <w:rsid w:val="4A9A5120"/>
    <w:rsid w:val="4AA31514"/>
    <w:rsid w:val="4AB52AA1"/>
    <w:rsid w:val="4ADD0BDB"/>
    <w:rsid w:val="4ADE6B72"/>
    <w:rsid w:val="4AE37652"/>
    <w:rsid w:val="4AE47589"/>
    <w:rsid w:val="4AE5785B"/>
    <w:rsid w:val="4AF20C9C"/>
    <w:rsid w:val="4AFC77C2"/>
    <w:rsid w:val="4AFD6304"/>
    <w:rsid w:val="4B0A6352"/>
    <w:rsid w:val="4B16041A"/>
    <w:rsid w:val="4B163BA0"/>
    <w:rsid w:val="4B1F11AB"/>
    <w:rsid w:val="4B2501A4"/>
    <w:rsid w:val="4B2A346B"/>
    <w:rsid w:val="4B304D1D"/>
    <w:rsid w:val="4B304E72"/>
    <w:rsid w:val="4B3A0AAF"/>
    <w:rsid w:val="4B3C364E"/>
    <w:rsid w:val="4B402837"/>
    <w:rsid w:val="4B425774"/>
    <w:rsid w:val="4B4608BD"/>
    <w:rsid w:val="4B482D45"/>
    <w:rsid w:val="4B4A3743"/>
    <w:rsid w:val="4B4F2F84"/>
    <w:rsid w:val="4B531107"/>
    <w:rsid w:val="4B576564"/>
    <w:rsid w:val="4B5E576C"/>
    <w:rsid w:val="4B642307"/>
    <w:rsid w:val="4B651BD1"/>
    <w:rsid w:val="4B79242A"/>
    <w:rsid w:val="4B7E0B30"/>
    <w:rsid w:val="4B7F6C4E"/>
    <w:rsid w:val="4B8C40DC"/>
    <w:rsid w:val="4BA14779"/>
    <w:rsid w:val="4BA340C9"/>
    <w:rsid w:val="4BAD0E64"/>
    <w:rsid w:val="4BB21AFF"/>
    <w:rsid w:val="4BB2648A"/>
    <w:rsid w:val="4BC66FC7"/>
    <w:rsid w:val="4BD275B7"/>
    <w:rsid w:val="4BD37BB0"/>
    <w:rsid w:val="4BD45618"/>
    <w:rsid w:val="4BD85C20"/>
    <w:rsid w:val="4BDA1CF1"/>
    <w:rsid w:val="4BDB5C34"/>
    <w:rsid w:val="4BDE5623"/>
    <w:rsid w:val="4BE0353C"/>
    <w:rsid w:val="4BE440BA"/>
    <w:rsid w:val="4BEB471D"/>
    <w:rsid w:val="4C035146"/>
    <w:rsid w:val="4C05650A"/>
    <w:rsid w:val="4C1E4634"/>
    <w:rsid w:val="4C1F4E2B"/>
    <w:rsid w:val="4C2422CA"/>
    <w:rsid w:val="4C31765D"/>
    <w:rsid w:val="4C3E605C"/>
    <w:rsid w:val="4C5B0A8D"/>
    <w:rsid w:val="4C5C1ABE"/>
    <w:rsid w:val="4C6B567D"/>
    <w:rsid w:val="4C6F5288"/>
    <w:rsid w:val="4C7514B1"/>
    <w:rsid w:val="4C75188E"/>
    <w:rsid w:val="4C756A2A"/>
    <w:rsid w:val="4C841125"/>
    <w:rsid w:val="4C93545B"/>
    <w:rsid w:val="4C9E4860"/>
    <w:rsid w:val="4CB06CF8"/>
    <w:rsid w:val="4CB630FB"/>
    <w:rsid w:val="4CB83EB9"/>
    <w:rsid w:val="4CBE098F"/>
    <w:rsid w:val="4CC83674"/>
    <w:rsid w:val="4CD4504A"/>
    <w:rsid w:val="4CF01385"/>
    <w:rsid w:val="4CF02215"/>
    <w:rsid w:val="4CF8770F"/>
    <w:rsid w:val="4D031BE4"/>
    <w:rsid w:val="4D04016A"/>
    <w:rsid w:val="4D1F7FD7"/>
    <w:rsid w:val="4D23518E"/>
    <w:rsid w:val="4D495017"/>
    <w:rsid w:val="4D4A7DC3"/>
    <w:rsid w:val="4D537AF1"/>
    <w:rsid w:val="4D64499D"/>
    <w:rsid w:val="4D7244E9"/>
    <w:rsid w:val="4D7542B1"/>
    <w:rsid w:val="4DAC2DB8"/>
    <w:rsid w:val="4DAD0779"/>
    <w:rsid w:val="4DC51121"/>
    <w:rsid w:val="4DD227E9"/>
    <w:rsid w:val="4DD70629"/>
    <w:rsid w:val="4DDC2B71"/>
    <w:rsid w:val="4DDE3666"/>
    <w:rsid w:val="4DEA1534"/>
    <w:rsid w:val="4DEB649F"/>
    <w:rsid w:val="4DFA45B1"/>
    <w:rsid w:val="4DFA6025"/>
    <w:rsid w:val="4DFB1A6C"/>
    <w:rsid w:val="4E0129F1"/>
    <w:rsid w:val="4E090F54"/>
    <w:rsid w:val="4E1040ED"/>
    <w:rsid w:val="4E1739A9"/>
    <w:rsid w:val="4E1A2F16"/>
    <w:rsid w:val="4E1B6447"/>
    <w:rsid w:val="4E266A36"/>
    <w:rsid w:val="4E3E54D2"/>
    <w:rsid w:val="4E46125D"/>
    <w:rsid w:val="4E4953F1"/>
    <w:rsid w:val="4E4D5E5D"/>
    <w:rsid w:val="4E520CD2"/>
    <w:rsid w:val="4E53734E"/>
    <w:rsid w:val="4E591627"/>
    <w:rsid w:val="4E634A0E"/>
    <w:rsid w:val="4E6355FD"/>
    <w:rsid w:val="4E6549BD"/>
    <w:rsid w:val="4E6B1822"/>
    <w:rsid w:val="4E6E30CD"/>
    <w:rsid w:val="4E7212C2"/>
    <w:rsid w:val="4E840374"/>
    <w:rsid w:val="4E856586"/>
    <w:rsid w:val="4E8B79BE"/>
    <w:rsid w:val="4E9370A1"/>
    <w:rsid w:val="4E975520"/>
    <w:rsid w:val="4E9D1436"/>
    <w:rsid w:val="4EAC248C"/>
    <w:rsid w:val="4EBC3D14"/>
    <w:rsid w:val="4EC77A22"/>
    <w:rsid w:val="4ECC36FE"/>
    <w:rsid w:val="4ECC7324"/>
    <w:rsid w:val="4ECE6387"/>
    <w:rsid w:val="4ED503B0"/>
    <w:rsid w:val="4EE6044B"/>
    <w:rsid w:val="4EE635DE"/>
    <w:rsid w:val="4EF22B0F"/>
    <w:rsid w:val="4EF36A82"/>
    <w:rsid w:val="4EF64D68"/>
    <w:rsid w:val="4EF91014"/>
    <w:rsid w:val="4F0556D1"/>
    <w:rsid w:val="4F070F75"/>
    <w:rsid w:val="4F112D6A"/>
    <w:rsid w:val="4F225699"/>
    <w:rsid w:val="4F255001"/>
    <w:rsid w:val="4F281A25"/>
    <w:rsid w:val="4F2C7D8A"/>
    <w:rsid w:val="4F330625"/>
    <w:rsid w:val="4F3A06A1"/>
    <w:rsid w:val="4F3F26D2"/>
    <w:rsid w:val="4F497B75"/>
    <w:rsid w:val="4F560309"/>
    <w:rsid w:val="4F5838F1"/>
    <w:rsid w:val="4F61185C"/>
    <w:rsid w:val="4F622A69"/>
    <w:rsid w:val="4F673E62"/>
    <w:rsid w:val="4F691E94"/>
    <w:rsid w:val="4F6A02BB"/>
    <w:rsid w:val="4F757C1A"/>
    <w:rsid w:val="4F7769A3"/>
    <w:rsid w:val="4F7C49EA"/>
    <w:rsid w:val="4F7F34C9"/>
    <w:rsid w:val="4F8375E2"/>
    <w:rsid w:val="4F895CE3"/>
    <w:rsid w:val="4F94130B"/>
    <w:rsid w:val="4F9931F8"/>
    <w:rsid w:val="4F9E2BBC"/>
    <w:rsid w:val="4FAA335C"/>
    <w:rsid w:val="4FBB1062"/>
    <w:rsid w:val="4FBB52FE"/>
    <w:rsid w:val="4FC04439"/>
    <w:rsid w:val="4FC41A95"/>
    <w:rsid w:val="4FF65810"/>
    <w:rsid w:val="50033CF4"/>
    <w:rsid w:val="5006529C"/>
    <w:rsid w:val="5018370E"/>
    <w:rsid w:val="501C23CD"/>
    <w:rsid w:val="501C70B2"/>
    <w:rsid w:val="50241306"/>
    <w:rsid w:val="502D16A2"/>
    <w:rsid w:val="503534D4"/>
    <w:rsid w:val="504313A0"/>
    <w:rsid w:val="50441B13"/>
    <w:rsid w:val="5048270B"/>
    <w:rsid w:val="504A1D27"/>
    <w:rsid w:val="504C4DED"/>
    <w:rsid w:val="504E5B31"/>
    <w:rsid w:val="50574484"/>
    <w:rsid w:val="50591D94"/>
    <w:rsid w:val="505D5FEA"/>
    <w:rsid w:val="50664988"/>
    <w:rsid w:val="50690A56"/>
    <w:rsid w:val="506E6927"/>
    <w:rsid w:val="507700EB"/>
    <w:rsid w:val="508311D8"/>
    <w:rsid w:val="508C7AE1"/>
    <w:rsid w:val="5095575E"/>
    <w:rsid w:val="50965759"/>
    <w:rsid w:val="50982A4F"/>
    <w:rsid w:val="509A0E94"/>
    <w:rsid w:val="509B3C87"/>
    <w:rsid w:val="50A429D4"/>
    <w:rsid w:val="50B20352"/>
    <w:rsid w:val="50B30125"/>
    <w:rsid w:val="50B760B3"/>
    <w:rsid w:val="50C20985"/>
    <w:rsid w:val="50D3190F"/>
    <w:rsid w:val="50D7410F"/>
    <w:rsid w:val="50D77B31"/>
    <w:rsid w:val="50E255D2"/>
    <w:rsid w:val="50F71E18"/>
    <w:rsid w:val="50FA6855"/>
    <w:rsid w:val="50FC01D5"/>
    <w:rsid w:val="5106676E"/>
    <w:rsid w:val="51200F5D"/>
    <w:rsid w:val="51205C83"/>
    <w:rsid w:val="51287229"/>
    <w:rsid w:val="512D1EAE"/>
    <w:rsid w:val="51397F92"/>
    <w:rsid w:val="513D27FC"/>
    <w:rsid w:val="515D559F"/>
    <w:rsid w:val="515E697D"/>
    <w:rsid w:val="51625D46"/>
    <w:rsid w:val="516340F3"/>
    <w:rsid w:val="51690FD7"/>
    <w:rsid w:val="516B3061"/>
    <w:rsid w:val="517313E1"/>
    <w:rsid w:val="51741224"/>
    <w:rsid w:val="5188442C"/>
    <w:rsid w:val="518F2AB0"/>
    <w:rsid w:val="51921004"/>
    <w:rsid w:val="519445EA"/>
    <w:rsid w:val="51A512B5"/>
    <w:rsid w:val="51AA389A"/>
    <w:rsid w:val="51AB7959"/>
    <w:rsid w:val="51B168FC"/>
    <w:rsid w:val="51B3609F"/>
    <w:rsid w:val="51B400FB"/>
    <w:rsid w:val="51B82FE6"/>
    <w:rsid w:val="51C61B41"/>
    <w:rsid w:val="51C62FB8"/>
    <w:rsid w:val="51C718BE"/>
    <w:rsid w:val="51D74ED3"/>
    <w:rsid w:val="51DA42DA"/>
    <w:rsid w:val="51DE6782"/>
    <w:rsid w:val="51E51A11"/>
    <w:rsid w:val="520728E3"/>
    <w:rsid w:val="520B386C"/>
    <w:rsid w:val="520F62EB"/>
    <w:rsid w:val="520F7217"/>
    <w:rsid w:val="521B2AFB"/>
    <w:rsid w:val="52252692"/>
    <w:rsid w:val="52402069"/>
    <w:rsid w:val="5241278E"/>
    <w:rsid w:val="5250604A"/>
    <w:rsid w:val="52567511"/>
    <w:rsid w:val="525A0DFD"/>
    <w:rsid w:val="52637685"/>
    <w:rsid w:val="5266775F"/>
    <w:rsid w:val="52772931"/>
    <w:rsid w:val="52921B7E"/>
    <w:rsid w:val="5292663D"/>
    <w:rsid w:val="52970C86"/>
    <w:rsid w:val="52AF2A84"/>
    <w:rsid w:val="52AF6916"/>
    <w:rsid w:val="52B359FC"/>
    <w:rsid w:val="52B369D6"/>
    <w:rsid w:val="52BB6906"/>
    <w:rsid w:val="52C04F34"/>
    <w:rsid w:val="52C210B3"/>
    <w:rsid w:val="52CE155C"/>
    <w:rsid w:val="52D31A70"/>
    <w:rsid w:val="52D70600"/>
    <w:rsid w:val="52E6425E"/>
    <w:rsid w:val="52EC7636"/>
    <w:rsid w:val="52F53731"/>
    <w:rsid w:val="5302036A"/>
    <w:rsid w:val="530324FF"/>
    <w:rsid w:val="53092414"/>
    <w:rsid w:val="530C2A7D"/>
    <w:rsid w:val="531D5411"/>
    <w:rsid w:val="53253629"/>
    <w:rsid w:val="532E166E"/>
    <w:rsid w:val="53342DE9"/>
    <w:rsid w:val="53446BAE"/>
    <w:rsid w:val="534D2773"/>
    <w:rsid w:val="53550773"/>
    <w:rsid w:val="53593C9A"/>
    <w:rsid w:val="535E7D95"/>
    <w:rsid w:val="53730E01"/>
    <w:rsid w:val="537D2FC4"/>
    <w:rsid w:val="537F6530"/>
    <w:rsid w:val="538246FA"/>
    <w:rsid w:val="538771DE"/>
    <w:rsid w:val="53893D08"/>
    <w:rsid w:val="539F32B7"/>
    <w:rsid w:val="53B16762"/>
    <w:rsid w:val="53B37967"/>
    <w:rsid w:val="53BA69AC"/>
    <w:rsid w:val="53C126C6"/>
    <w:rsid w:val="53C52462"/>
    <w:rsid w:val="53D55773"/>
    <w:rsid w:val="53ED7544"/>
    <w:rsid w:val="53FC0AAE"/>
    <w:rsid w:val="54035056"/>
    <w:rsid w:val="540B36C6"/>
    <w:rsid w:val="540E55BF"/>
    <w:rsid w:val="541D134E"/>
    <w:rsid w:val="54204D41"/>
    <w:rsid w:val="542853D7"/>
    <w:rsid w:val="542B35D5"/>
    <w:rsid w:val="544A5EF9"/>
    <w:rsid w:val="544F2F52"/>
    <w:rsid w:val="545447A2"/>
    <w:rsid w:val="54576006"/>
    <w:rsid w:val="54692211"/>
    <w:rsid w:val="546C77D3"/>
    <w:rsid w:val="546E6A59"/>
    <w:rsid w:val="547050F6"/>
    <w:rsid w:val="54750843"/>
    <w:rsid w:val="54763454"/>
    <w:rsid w:val="54801920"/>
    <w:rsid w:val="54826EA0"/>
    <w:rsid w:val="549203BE"/>
    <w:rsid w:val="549D2F38"/>
    <w:rsid w:val="54A07A5C"/>
    <w:rsid w:val="54A44504"/>
    <w:rsid w:val="54AC5133"/>
    <w:rsid w:val="54AC72E2"/>
    <w:rsid w:val="54B904E2"/>
    <w:rsid w:val="54BF5DB7"/>
    <w:rsid w:val="54C40180"/>
    <w:rsid w:val="54CA3B6D"/>
    <w:rsid w:val="54E16B04"/>
    <w:rsid w:val="54E74755"/>
    <w:rsid w:val="54E93C37"/>
    <w:rsid w:val="54EF6686"/>
    <w:rsid w:val="54F07F05"/>
    <w:rsid w:val="54F55732"/>
    <w:rsid w:val="54FB32EC"/>
    <w:rsid w:val="54FF7984"/>
    <w:rsid w:val="5501586D"/>
    <w:rsid w:val="55053C72"/>
    <w:rsid w:val="55075F94"/>
    <w:rsid w:val="55121FAB"/>
    <w:rsid w:val="551B67FE"/>
    <w:rsid w:val="5522450D"/>
    <w:rsid w:val="552A361D"/>
    <w:rsid w:val="552E656A"/>
    <w:rsid w:val="55384B40"/>
    <w:rsid w:val="553D331E"/>
    <w:rsid w:val="553F5C5B"/>
    <w:rsid w:val="554D10E9"/>
    <w:rsid w:val="554D622B"/>
    <w:rsid w:val="55502326"/>
    <w:rsid w:val="55545FB9"/>
    <w:rsid w:val="55581881"/>
    <w:rsid w:val="556A2DE0"/>
    <w:rsid w:val="557419A0"/>
    <w:rsid w:val="557C3E1E"/>
    <w:rsid w:val="55880653"/>
    <w:rsid w:val="55931D72"/>
    <w:rsid w:val="559E5ACA"/>
    <w:rsid w:val="55A4262B"/>
    <w:rsid w:val="55A72816"/>
    <w:rsid w:val="55A833A5"/>
    <w:rsid w:val="55AB6630"/>
    <w:rsid w:val="55C1373E"/>
    <w:rsid w:val="55CE2886"/>
    <w:rsid w:val="55CE4B75"/>
    <w:rsid w:val="55D6514E"/>
    <w:rsid w:val="55DB2537"/>
    <w:rsid w:val="55E0387A"/>
    <w:rsid w:val="55EB7CF1"/>
    <w:rsid w:val="55F36040"/>
    <w:rsid w:val="55F90995"/>
    <w:rsid w:val="5609003A"/>
    <w:rsid w:val="560B20F6"/>
    <w:rsid w:val="56121E0A"/>
    <w:rsid w:val="56155FC5"/>
    <w:rsid w:val="562267B6"/>
    <w:rsid w:val="563813E6"/>
    <w:rsid w:val="564C47FC"/>
    <w:rsid w:val="564F0543"/>
    <w:rsid w:val="56561B13"/>
    <w:rsid w:val="565C2193"/>
    <w:rsid w:val="565D3C9C"/>
    <w:rsid w:val="566C7A1F"/>
    <w:rsid w:val="567279E6"/>
    <w:rsid w:val="5675576B"/>
    <w:rsid w:val="56790AC2"/>
    <w:rsid w:val="567F1301"/>
    <w:rsid w:val="568651EF"/>
    <w:rsid w:val="568B24CA"/>
    <w:rsid w:val="56903276"/>
    <w:rsid w:val="5693028E"/>
    <w:rsid w:val="56966C90"/>
    <w:rsid w:val="56991A1F"/>
    <w:rsid w:val="569A25BE"/>
    <w:rsid w:val="569F4902"/>
    <w:rsid w:val="56A75790"/>
    <w:rsid w:val="56AC1FB0"/>
    <w:rsid w:val="56AD7D10"/>
    <w:rsid w:val="56B62051"/>
    <w:rsid w:val="56B7648A"/>
    <w:rsid w:val="56C33CD2"/>
    <w:rsid w:val="56C851F3"/>
    <w:rsid w:val="56CA40BE"/>
    <w:rsid w:val="56D34C4A"/>
    <w:rsid w:val="56DB5318"/>
    <w:rsid w:val="56FD6DFB"/>
    <w:rsid w:val="56FF3D71"/>
    <w:rsid w:val="572640FB"/>
    <w:rsid w:val="57272366"/>
    <w:rsid w:val="57285521"/>
    <w:rsid w:val="572D4B49"/>
    <w:rsid w:val="572D628F"/>
    <w:rsid w:val="572E5C67"/>
    <w:rsid w:val="573635A6"/>
    <w:rsid w:val="573960B3"/>
    <w:rsid w:val="573C0203"/>
    <w:rsid w:val="573F4B80"/>
    <w:rsid w:val="57410ADB"/>
    <w:rsid w:val="57453A97"/>
    <w:rsid w:val="575D7877"/>
    <w:rsid w:val="57611490"/>
    <w:rsid w:val="5785633F"/>
    <w:rsid w:val="57A73272"/>
    <w:rsid w:val="57AD0188"/>
    <w:rsid w:val="57AE1CDB"/>
    <w:rsid w:val="57AE7F41"/>
    <w:rsid w:val="57B236DE"/>
    <w:rsid w:val="57B44FBA"/>
    <w:rsid w:val="57BA3731"/>
    <w:rsid w:val="57BB4A66"/>
    <w:rsid w:val="57BD74CD"/>
    <w:rsid w:val="57C202FA"/>
    <w:rsid w:val="57C87789"/>
    <w:rsid w:val="57CA34BB"/>
    <w:rsid w:val="57D75759"/>
    <w:rsid w:val="57E047D8"/>
    <w:rsid w:val="57E601EC"/>
    <w:rsid w:val="57F05A91"/>
    <w:rsid w:val="57F449C7"/>
    <w:rsid w:val="57FB6AE4"/>
    <w:rsid w:val="57FE52B3"/>
    <w:rsid w:val="58004AE5"/>
    <w:rsid w:val="58091773"/>
    <w:rsid w:val="58112840"/>
    <w:rsid w:val="58203619"/>
    <w:rsid w:val="58257091"/>
    <w:rsid w:val="58265370"/>
    <w:rsid w:val="582A0DA9"/>
    <w:rsid w:val="583A35FE"/>
    <w:rsid w:val="583B77B4"/>
    <w:rsid w:val="58421EA1"/>
    <w:rsid w:val="58471BA0"/>
    <w:rsid w:val="58503D70"/>
    <w:rsid w:val="5850423B"/>
    <w:rsid w:val="585B7ED1"/>
    <w:rsid w:val="585F6C9E"/>
    <w:rsid w:val="586279DC"/>
    <w:rsid w:val="58695DB7"/>
    <w:rsid w:val="586E6F04"/>
    <w:rsid w:val="586F6D01"/>
    <w:rsid w:val="58711532"/>
    <w:rsid w:val="58716C5B"/>
    <w:rsid w:val="58831BC7"/>
    <w:rsid w:val="58854694"/>
    <w:rsid w:val="588C6DCB"/>
    <w:rsid w:val="58902537"/>
    <w:rsid w:val="58910629"/>
    <w:rsid w:val="589727F6"/>
    <w:rsid w:val="589B2969"/>
    <w:rsid w:val="58AA1F28"/>
    <w:rsid w:val="58B06BA8"/>
    <w:rsid w:val="58B354CF"/>
    <w:rsid w:val="58B43541"/>
    <w:rsid w:val="58B54BEF"/>
    <w:rsid w:val="58D13F41"/>
    <w:rsid w:val="58D4757E"/>
    <w:rsid w:val="58D5602B"/>
    <w:rsid w:val="58D73B51"/>
    <w:rsid w:val="58E17FAA"/>
    <w:rsid w:val="58E24C59"/>
    <w:rsid w:val="58E55B8B"/>
    <w:rsid w:val="58E64318"/>
    <w:rsid w:val="58E90387"/>
    <w:rsid w:val="58EA720A"/>
    <w:rsid w:val="58EB2FB8"/>
    <w:rsid w:val="58F03D02"/>
    <w:rsid w:val="58F31C26"/>
    <w:rsid w:val="59032D21"/>
    <w:rsid w:val="592A47BE"/>
    <w:rsid w:val="592F23A2"/>
    <w:rsid w:val="59381E91"/>
    <w:rsid w:val="593969E1"/>
    <w:rsid w:val="593D12A3"/>
    <w:rsid w:val="593F2E38"/>
    <w:rsid w:val="593F6D30"/>
    <w:rsid w:val="59404475"/>
    <w:rsid w:val="595503D4"/>
    <w:rsid w:val="59655B1A"/>
    <w:rsid w:val="59665111"/>
    <w:rsid w:val="59753D28"/>
    <w:rsid w:val="597C62E1"/>
    <w:rsid w:val="5982390F"/>
    <w:rsid w:val="59862498"/>
    <w:rsid w:val="59867984"/>
    <w:rsid w:val="598A175E"/>
    <w:rsid w:val="59902E32"/>
    <w:rsid w:val="59A507DE"/>
    <w:rsid w:val="59A9783C"/>
    <w:rsid w:val="59B17A8F"/>
    <w:rsid w:val="59B92A70"/>
    <w:rsid w:val="59BC78C3"/>
    <w:rsid w:val="59C01F6F"/>
    <w:rsid w:val="59C63557"/>
    <w:rsid w:val="59CF5C5B"/>
    <w:rsid w:val="59E5278C"/>
    <w:rsid w:val="59F01333"/>
    <w:rsid w:val="59F330DB"/>
    <w:rsid w:val="59F75513"/>
    <w:rsid w:val="59FC19E8"/>
    <w:rsid w:val="5A0872A0"/>
    <w:rsid w:val="5A110610"/>
    <w:rsid w:val="5A156629"/>
    <w:rsid w:val="5A175D7E"/>
    <w:rsid w:val="5A225DF4"/>
    <w:rsid w:val="5A2A58D7"/>
    <w:rsid w:val="5A363157"/>
    <w:rsid w:val="5A385BE4"/>
    <w:rsid w:val="5A3B43C4"/>
    <w:rsid w:val="5A3F5548"/>
    <w:rsid w:val="5A4073FA"/>
    <w:rsid w:val="5A485FF8"/>
    <w:rsid w:val="5A535B3D"/>
    <w:rsid w:val="5A5D678D"/>
    <w:rsid w:val="5A6B3438"/>
    <w:rsid w:val="5A6E1CC9"/>
    <w:rsid w:val="5A6E395A"/>
    <w:rsid w:val="5A6E454F"/>
    <w:rsid w:val="5A707063"/>
    <w:rsid w:val="5A7E63B3"/>
    <w:rsid w:val="5A7F152C"/>
    <w:rsid w:val="5A815EBD"/>
    <w:rsid w:val="5A8F47C2"/>
    <w:rsid w:val="5A8F78D5"/>
    <w:rsid w:val="5A9452FF"/>
    <w:rsid w:val="5A954B6A"/>
    <w:rsid w:val="5A96612C"/>
    <w:rsid w:val="5A9C30DD"/>
    <w:rsid w:val="5A9C34AA"/>
    <w:rsid w:val="5A9C3789"/>
    <w:rsid w:val="5AA05DA7"/>
    <w:rsid w:val="5AB5636A"/>
    <w:rsid w:val="5ABB4F1C"/>
    <w:rsid w:val="5AC52783"/>
    <w:rsid w:val="5AC639C7"/>
    <w:rsid w:val="5AD3367F"/>
    <w:rsid w:val="5AD86B45"/>
    <w:rsid w:val="5AE60516"/>
    <w:rsid w:val="5AF23DC4"/>
    <w:rsid w:val="5AFA5A5B"/>
    <w:rsid w:val="5B20539D"/>
    <w:rsid w:val="5B207ED9"/>
    <w:rsid w:val="5B2567BA"/>
    <w:rsid w:val="5B304C94"/>
    <w:rsid w:val="5B360359"/>
    <w:rsid w:val="5B3B3F1B"/>
    <w:rsid w:val="5B4343D6"/>
    <w:rsid w:val="5B4A1661"/>
    <w:rsid w:val="5B540D0F"/>
    <w:rsid w:val="5B5477DB"/>
    <w:rsid w:val="5B5C79FB"/>
    <w:rsid w:val="5B636E27"/>
    <w:rsid w:val="5B6D25B7"/>
    <w:rsid w:val="5B821FA5"/>
    <w:rsid w:val="5B9540A7"/>
    <w:rsid w:val="5BA15F09"/>
    <w:rsid w:val="5BA16BC4"/>
    <w:rsid w:val="5BB06A6F"/>
    <w:rsid w:val="5BB15FA7"/>
    <w:rsid w:val="5BB5135D"/>
    <w:rsid w:val="5BB66679"/>
    <w:rsid w:val="5BB8204D"/>
    <w:rsid w:val="5BB96A3C"/>
    <w:rsid w:val="5BC73E17"/>
    <w:rsid w:val="5BCA5076"/>
    <w:rsid w:val="5BDF2516"/>
    <w:rsid w:val="5BE34365"/>
    <w:rsid w:val="5BE715AD"/>
    <w:rsid w:val="5BE72632"/>
    <w:rsid w:val="5BF3569C"/>
    <w:rsid w:val="5BFA3F51"/>
    <w:rsid w:val="5C130AC3"/>
    <w:rsid w:val="5C1A5CF2"/>
    <w:rsid w:val="5C3C0252"/>
    <w:rsid w:val="5C3E4F1C"/>
    <w:rsid w:val="5C44377C"/>
    <w:rsid w:val="5C4674A4"/>
    <w:rsid w:val="5C4C41C4"/>
    <w:rsid w:val="5C4F29E5"/>
    <w:rsid w:val="5C4F2F30"/>
    <w:rsid w:val="5C4F56D4"/>
    <w:rsid w:val="5C522EBC"/>
    <w:rsid w:val="5C70669F"/>
    <w:rsid w:val="5C8B164D"/>
    <w:rsid w:val="5C8D1C48"/>
    <w:rsid w:val="5C9845B5"/>
    <w:rsid w:val="5C9C2E35"/>
    <w:rsid w:val="5CA010B1"/>
    <w:rsid w:val="5CA1371E"/>
    <w:rsid w:val="5CA22C00"/>
    <w:rsid w:val="5CA76819"/>
    <w:rsid w:val="5CAA2E12"/>
    <w:rsid w:val="5CBB4635"/>
    <w:rsid w:val="5CBF0B6A"/>
    <w:rsid w:val="5CC20422"/>
    <w:rsid w:val="5CCA4535"/>
    <w:rsid w:val="5CD700D4"/>
    <w:rsid w:val="5CDA33CF"/>
    <w:rsid w:val="5CE046C1"/>
    <w:rsid w:val="5CF950ED"/>
    <w:rsid w:val="5D041C0A"/>
    <w:rsid w:val="5D19264D"/>
    <w:rsid w:val="5D2A3C68"/>
    <w:rsid w:val="5D350E26"/>
    <w:rsid w:val="5D362C66"/>
    <w:rsid w:val="5D4545FE"/>
    <w:rsid w:val="5D462B72"/>
    <w:rsid w:val="5D471321"/>
    <w:rsid w:val="5D4A29D2"/>
    <w:rsid w:val="5D507458"/>
    <w:rsid w:val="5D547085"/>
    <w:rsid w:val="5D6D05B9"/>
    <w:rsid w:val="5D711904"/>
    <w:rsid w:val="5D8A1C93"/>
    <w:rsid w:val="5DA1518A"/>
    <w:rsid w:val="5DA65CF0"/>
    <w:rsid w:val="5DA6746C"/>
    <w:rsid w:val="5DAA6931"/>
    <w:rsid w:val="5DAE3119"/>
    <w:rsid w:val="5DB27737"/>
    <w:rsid w:val="5DB54336"/>
    <w:rsid w:val="5DBB2934"/>
    <w:rsid w:val="5DBC1B7E"/>
    <w:rsid w:val="5DBE4968"/>
    <w:rsid w:val="5DC447B5"/>
    <w:rsid w:val="5DC44A6F"/>
    <w:rsid w:val="5DC542D6"/>
    <w:rsid w:val="5DCB26A7"/>
    <w:rsid w:val="5DCF0206"/>
    <w:rsid w:val="5DD52F45"/>
    <w:rsid w:val="5DD93C8E"/>
    <w:rsid w:val="5DDF55E6"/>
    <w:rsid w:val="5DE435D9"/>
    <w:rsid w:val="5DE7521A"/>
    <w:rsid w:val="5DF16988"/>
    <w:rsid w:val="5DFC0CFC"/>
    <w:rsid w:val="5E001395"/>
    <w:rsid w:val="5E074B8A"/>
    <w:rsid w:val="5E154B97"/>
    <w:rsid w:val="5E1E5C39"/>
    <w:rsid w:val="5E233AB1"/>
    <w:rsid w:val="5E266BA9"/>
    <w:rsid w:val="5E322B63"/>
    <w:rsid w:val="5E3349D7"/>
    <w:rsid w:val="5E3D5417"/>
    <w:rsid w:val="5E5017FA"/>
    <w:rsid w:val="5E5F1A76"/>
    <w:rsid w:val="5E686B4D"/>
    <w:rsid w:val="5E851EF4"/>
    <w:rsid w:val="5E943B43"/>
    <w:rsid w:val="5E9D0015"/>
    <w:rsid w:val="5EA91CC1"/>
    <w:rsid w:val="5EAE3AAE"/>
    <w:rsid w:val="5EAF0E90"/>
    <w:rsid w:val="5EB76FB0"/>
    <w:rsid w:val="5EBA5CAE"/>
    <w:rsid w:val="5EC46EB7"/>
    <w:rsid w:val="5EC7529F"/>
    <w:rsid w:val="5ECB7FF9"/>
    <w:rsid w:val="5ED10D51"/>
    <w:rsid w:val="5ED24350"/>
    <w:rsid w:val="5EE3407F"/>
    <w:rsid w:val="5EEB3B10"/>
    <w:rsid w:val="5EED7E32"/>
    <w:rsid w:val="5EF311F4"/>
    <w:rsid w:val="5F021E36"/>
    <w:rsid w:val="5F0C310F"/>
    <w:rsid w:val="5F10590D"/>
    <w:rsid w:val="5F1C09EB"/>
    <w:rsid w:val="5F281538"/>
    <w:rsid w:val="5F2B5F6C"/>
    <w:rsid w:val="5F374ED4"/>
    <w:rsid w:val="5F447F62"/>
    <w:rsid w:val="5F4861A2"/>
    <w:rsid w:val="5F4B524E"/>
    <w:rsid w:val="5F4F07B7"/>
    <w:rsid w:val="5F5C3008"/>
    <w:rsid w:val="5F5C326E"/>
    <w:rsid w:val="5F684985"/>
    <w:rsid w:val="5F690D65"/>
    <w:rsid w:val="5F70052E"/>
    <w:rsid w:val="5F795BE5"/>
    <w:rsid w:val="5F87535C"/>
    <w:rsid w:val="5F9B43C3"/>
    <w:rsid w:val="5F9B6414"/>
    <w:rsid w:val="5F9D1FD8"/>
    <w:rsid w:val="5F9D4665"/>
    <w:rsid w:val="5FAB70C0"/>
    <w:rsid w:val="5FB462A4"/>
    <w:rsid w:val="5FBA222B"/>
    <w:rsid w:val="5FC072CB"/>
    <w:rsid w:val="5FC423C3"/>
    <w:rsid w:val="5FCD00B1"/>
    <w:rsid w:val="5FCD7C40"/>
    <w:rsid w:val="5FCF249A"/>
    <w:rsid w:val="5FD8013B"/>
    <w:rsid w:val="5FE25E68"/>
    <w:rsid w:val="5FE944F3"/>
    <w:rsid w:val="5FE94F39"/>
    <w:rsid w:val="5FF23CAB"/>
    <w:rsid w:val="5FF553BF"/>
    <w:rsid w:val="5FF966A1"/>
    <w:rsid w:val="5FFA337C"/>
    <w:rsid w:val="60016CDE"/>
    <w:rsid w:val="60107CE1"/>
    <w:rsid w:val="6017736C"/>
    <w:rsid w:val="60204746"/>
    <w:rsid w:val="602362B5"/>
    <w:rsid w:val="60357A63"/>
    <w:rsid w:val="603773CA"/>
    <w:rsid w:val="603D541A"/>
    <w:rsid w:val="603E7252"/>
    <w:rsid w:val="603F5EED"/>
    <w:rsid w:val="60492A26"/>
    <w:rsid w:val="605552AC"/>
    <w:rsid w:val="60656B20"/>
    <w:rsid w:val="60714F40"/>
    <w:rsid w:val="60790DFF"/>
    <w:rsid w:val="607B74F4"/>
    <w:rsid w:val="607B7934"/>
    <w:rsid w:val="607C716B"/>
    <w:rsid w:val="608B4455"/>
    <w:rsid w:val="608C5850"/>
    <w:rsid w:val="60934CC3"/>
    <w:rsid w:val="60A115B8"/>
    <w:rsid w:val="60A15A10"/>
    <w:rsid w:val="60B32AF9"/>
    <w:rsid w:val="60B717EB"/>
    <w:rsid w:val="60C14A56"/>
    <w:rsid w:val="60CE38E4"/>
    <w:rsid w:val="60D27CE5"/>
    <w:rsid w:val="60D33F60"/>
    <w:rsid w:val="60E04B1B"/>
    <w:rsid w:val="60E0775A"/>
    <w:rsid w:val="60E72415"/>
    <w:rsid w:val="610576D7"/>
    <w:rsid w:val="610B44CA"/>
    <w:rsid w:val="610E76EB"/>
    <w:rsid w:val="61253A3A"/>
    <w:rsid w:val="612A2B36"/>
    <w:rsid w:val="61313A10"/>
    <w:rsid w:val="6133091D"/>
    <w:rsid w:val="61351D15"/>
    <w:rsid w:val="6136426E"/>
    <w:rsid w:val="614F51E8"/>
    <w:rsid w:val="614F64AF"/>
    <w:rsid w:val="61525B21"/>
    <w:rsid w:val="61553B8E"/>
    <w:rsid w:val="61576227"/>
    <w:rsid w:val="6162771B"/>
    <w:rsid w:val="616277A8"/>
    <w:rsid w:val="616A5B23"/>
    <w:rsid w:val="616D2A2C"/>
    <w:rsid w:val="61783B40"/>
    <w:rsid w:val="617A2E2B"/>
    <w:rsid w:val="618828B2"/>
    <w:rsid w:val="618E140B"/>
    <w:rsid w:val="619623E1"/>
    <w:rsid w:val="619F3AE0"/>
    <w:rsid w:val="61A976A7"/>
    <w:rsid w:val="61B33886"/>
    <w:rsid w:val="61B91C1E"/>
    <w:rsid w:val="61BD767D"/>
    <w:rsid w:val="61D56A19"/>
    <w:rsid w:val="61DF5A46"/>
    <w:rsid w:val="61E130F1"/>
    <w:rsid w:val="61E25264"/>
    <w:rsid w:val="61E32FB8"/>
    <w:rsid w:val="61E44362"/>
    <w:rsid w:val="61E51EB2"/>
    <w:rsid w:val="61EC5C21"/>
    <w:rsid w:val="61EC71A5"/>
    <w:rsid w:val="61F626F2"/>
    <w:rsid w:val="6204541A"/>
    <w:rsid w:val="62212621"/>
    <w:rsid w:val="62246949"/>
    <w:rsid w:val="622C6824"/>
    <w:rsid w:val="622E5486"/>
    <w:rsid w:val="623404B6"/>
    <w:rsid w:val="623667D8"/>
    <w:rsid w:val="623B7B08"/>
    <w:rsid w:val="623E4DBF"/>
    <w:rsid w:val="624040B9"/>
    <w:rsid w:val="624C36FC"/>
    <w:rsid w:val="625851FE"/>
    <w:rsid w:val="625B3750"/>
    <w:rsid w:val="62636171"/>
    <w:rsid w:val="62651038"/>
    <w:rsid w:val="6265718C"/>
    <w:rsid w:val="62744800"/>
    <w:rsid w:val="627E3060"/>
    <w:rsid w:val="628A21AF"/>
    <w:rsid w:val="62954397"/>
    <w:rsid w:val="6297377C"/>
    <w:rsid w:val="629924F8"/>
    <w:rsid w:val="6299649B"/>
    <w:rsid w:val="629A6DDB"/>
    <w:rsid w:val="62A339CE"/>
    <w:rsid w:val="62AA399F"/>
    <w:rsid w:val="62AF5BCF"/>
    <w:rsid w:val="62C00821"/>
    <w:rsid w:val="62C5432F"/>
    <w:rsid w:val="62DD0D24"/>
    <w:rsid w:val="62EF4C78"/>
    <w:rsid w:val="62EF7746"/>
    <w:rsid w:val="62F13305"/>
    <w:rsid w:val="62F32D3F"/>
    <w:rsid w:val="62FF28D5"/>
    <w:rsid w:val="630647F9"/>
    <w:rsid w:val="630913B4"/>
    <w:rsid w:val="63104432"/>
    <w:rsid w:val="6312259C"/>
    <w:rsid w:val="631928C1"/>
    <w:rsid w:val="631C21E2"/>
    <w:rsid w:val="631C4B22"/>
    <w:rsid w:val="63210991"/>
    <w:rsid w:val="63272BD6"/>
    <w:rsid w:val="63315DD4"/>
    <w:rsid w:val="633A1EC3"/>
    <w:rsid w:val="63405656"/>
    <w:rsid w:val="6341126B"/>
    <w:rsid w:val="63445404"/>
    <w:rsid w:val="63450541"/>
    <w:rsid w:val="6347162B"/>
    <w:rsid w:val="63510FFE"/>
    <w:rsid w:val="63533119"/>
    <w:rsid w:val="63565640"/>
    <w:rsid w:val="635E0F6D"/>
    <w:rsid w:val="635F4656"/>
    <w:rsid w:val="636B74E2"/>
    <w:rsid w:val="636D331B"/>
    <w:rsid w:val="638102F3"/>
    <w:rsid w:val="63817F40"/>
    <w:rsid w:val="63886B66"/>
    <w:rsid w:val="63916600"/>
    <w:rsid w:val="639574C1"/>
    <w:rsid w:val="639928E9"/>
    <w:rsid w:val="639B4E82"/>
    <w:rsid w:val="63B77BCA"/>
    <w:rsid w:val="63B84DDF"/>
    <w:rsid w:val="63BB74EA"/>
    <w:rsid w:val="63CC2103"/>
    <w:rsid w:val="63D0177C"/>
    <w:rsid w:val="63D7142A"/>
    <w:rsid w:val="63DA784D"/>
    <w:rsid w:val="63DD1B9C"/>
    <w:rsid w:val="63F03E84"/>
    <w:rsid w:val="63F5225A"/>
    <w:rsid w:val="63FE38C0"/>
    <w:rsid w:val="642B50A6"/>
    <w:rsid w:val="64330F07"/>
    <w:rsid w:val="64387C8A"/>
    <w:rsid w:val="644332E8"/>
    <w:rsid w:val="644476C6"/>
    <w:rsid w:val="64486B4B"/>
    <w:rsid w:val="64491BB7"/>
    <w:rsid w:val="644978FE"/>
    <w:rsid w:val="64527BB6"/>
    <w:rsid w:val="64550B56"/>
    <w:rsid w:val="645864AF"/>
    <w:rsid w:val="645A7B0F"/>
    <w:rsid w:val="645E012D"/>
    <w:rsid w:val="64686AAB"/>
    <w:rsid w:val="646B6204"/>
    <w:rsid w:val="647D168E"/>
    <w:rsid w:val="647E23A0"/>
    <w:rsid w:val="64825337"/>
    <w:rsid w:val="648E47E3"/>
    <w:rsid w:val="648F45DE"/>
    <w:rsid w:val="64963284"/>
    <w:rsid w:val="649E7F0E"/>
    <w:rsid w:val="64A97DE4"/>
    <w:rsid w:val="64AC4D0A"/>
    <w:rsid w:val="64B65623"/>
    <w:rsid w:val="64B9474F"/>
    <w:rsid w:val="64BA015B"/>
    <w:rsid w:val="64BB06E1"/>
    <w:rsid w:val="64D124F2"/>
    <w:rsid w:val="64DB6AC5"/>
    <w:rsid w:val="64DD7D1D"/>
    <w:rsid w:val="64E00E1A"/>
    <w:rsid w:val="64E0313A"/>
    <w:rsid w:val="64E61FF0"/>
    <w:rsid w:val="64EA4F75"/>
    <w:rsid w:val="64EB4720"/>
    <w:rsid w:val="64EF5603"/>
    <w:rsid w:val="650557A0"/>
    <w:rsid w:val="65092C01"/>
    <w:rsid w:val="65283F4D"/>
    <w:rsid w:val="65306884"/>
    <w:rsid w:val="653374FF"/>
    <w:rsid w:val="65390CBE"/>
    <w:rsid w:val="654A235F"/>
    <w:rsid w:val="654F008A"/>
    <w:rsid w:val="65513522"/>
    <w:rsid w:val="655953B0"/>
    <w:rsid w:val="655C141D"/>
    <w:rsid w:val="656B29BA"/>
    <w:rsid w:val="656B2A46"/>
    <w:rsid w:val="656B33BA"/>
    <w:rsid w:val="65725A3D"/>
    <w:rsid w:val="65765DEF"/>
    <w:rsid w:val="65784662"/>
    <w:rsid w:val="658319DC"/>
    <w:rsid w:val="658E5F83"/>
    <w:rsid w:val="65984FBA"/>
    <w:rsid w:val="65A26BDE"/>
    <w:rsid w:val="65A34C71"/>
    <w:rsid w:val="65AA1991"/>
    <w:rsid w:val="65AE2EEA"/>
    <w:rsid w:val="65B359D7"/>
    <w:rsid w:val="65D67A78"/>
    <w:rsid w:val="65D67CEF"/>
    <w:rsid w:val="65DD1468"/>
    <w:rsid w:val="65DD23C0"/>
    <w:rsid w:val="65E84DC2"/>
    <w:rsid w:val="65EC6642"/>
    <w:rsid w:val="65F613A0"/>
    <w:rsid w:val="65F6655C"/>
    <w:rsid w:val="65FC0453"/>
    <w:rsid w:val="660C7215"/>
    <w:rsid w:val="661C2177"/>
    <w:rsid w:val="66205FFC"/>
    <w:rsid w:val="66227DC7"/>
    <w:rsid w:val="6631456C"/>
    <w:rsid w:val="66365F01"/>
    <w:rsid w:val="66387EB4"/>
    <w:rsid w:val="663B7723"/>
    <w:rsid w:val="6646525E"/>
    <w:rsid w:val="66481FB4"/>
    <w:rsid w:val="664C0A86"/>
    <w:rsid w:val="665050BE"/>
    <w:rsid w:val="66580351"/>
    <w:rsid w:val="66632C81"/>
    <w:rsid w:val="66643153"/>
    <w:rsid w:val="66650082"/>
    <w:rsid w:val="667251AD"/>
    <w:rsid w:val="667E1A4C"/>
    <w:rsid w:val="667F2DFA"/>
    <w:rsid w:val="66820DB2"/>
    <w:rsid w:val="66877A67"/>
    <w:rsid w:val="668C07F3"/>
    <w:rsid w:val="668D7B60"/>
    <w:rsid w:val="668F2C5D"/>
    <w:rsid w:val="66990C94"/>
    <w:rsid w:val="66A85719"/>
    <w:rsid w:val="66AE5773"/>
    <w:rsid w:val="66B63C5E"/>
    <w:rsid w:val="66B640FB"/>
    <w:rsid w:val="66BD7243"/>
    <w:rsid w:val="66E02CC3"/>
    <w:rsid w:val="66E965E0"/>
    <w:rsid w:val="66EE7AC0"/>
    <w:rsid w:val="66F17846"/>
    <w:rsid w:val="66F97E56"/>
    <w:rsid w:val="66FB3FF5"/>
    <w:rsid w:val="66FF5518"/>
    <w:rsid w:val="670501D8"/>
    <w:rsid w:val="67056149"/>
    <w:rsid w:val="670A414C"/>
    <w:rsid w:val="67102221"/>
    <w:rsid w:val="671567A3"/>
    <w:rsid w:val="671F1DCB"/>
    <w:rsid w:val="67243586"/>
    <w:rsid w:val="6726478C"/>
    <w:rsid w:val="6727455E"/>
    <w:rsid w:val="673529A5"/>
    <w:rsid w:val="673C62A1"/>
    <w:rsid w:val="67403E13"/>
    <w:rsid w:val="67472274"/>
    <w:rsid w:val="674C14D7"/>
    <w:rsid w:val="674E0963"/>
    <w:rsid w:val="675C1495"/>
    <w:rsid w:val="675C3185"/>
    <w:rsid w:val="67664DAD"/>
    <w:rsid w:val="676720D9"/>
    <w:rsid w:val="67732970"/>
    <w:rsid w:val="677C0886"/>
    <w:rsid w:val="67973601"/>
    <w:rsid w:val="67B809EC"/>
    <w:rsid w:val="67C236FF"/>
    <w:rsid w:val="67C51BDB"/>
    <w:rsid w:val="67CA2850"/>
    <w:rsid w:val="67CA4F9B"/>
    <w:rsid w:val="67CA735E"/>
    <w:rsid w:val="67D11EAD"/>
    <w:rsid w:val="67DA56EF"/>
    <w:rsid w:val="67DC6EE4"/>
    <w:rsid w:val="67E7355E"/>
    <w:rsid w:val="67E95F4E"/>
    <w:rsid w:val="67E976CE"/>
    <w:rsid w:val="67F06009"/>
    <w:rsid w:val="680D3AE7"/>
    <w:rsid w:val="68160AAC"/>
    <w:rsid w:val="68166EC0"/>
    <w:rsid w:val="68210633"/>
    <w:rsid w:val="682313FC"/>
    <w:rsid w:val="682E1979"/>
    <w:rsid w:val="684200F4"/>
    <w:rsid w:val="684D2144"/>
    <w:rsid w:val="684F5149"/>
    <w:rsid w:val="685249BF"/>
    <w:rsid w:val="685A53F5"/>
    <w:rsid w:val="685E3FF0"/>
    <w:rsid w:val="6879464B"/>
    <w:rsid w:val="687F10E8"/>
    <w:rsid w:val="68940BEB"/>
    <w:rsid w:val="68AC0A76"/>
    <w:rsid w:val="68AD4086"/>
    <w:rsid w:val="68B14738"/>
    <w:rsid w:val="68C13449"/>
    <w:rsid w:val="68C77AF1"/>
    <w:rsid w:val="68CC2B34"/>
    <w:rsid w:val="68CD4B4A"/>
    <w:rsid w:val="68DC3459"/>
    <w:rsid w:val="68DD22FB"/>
    <w:rsid w:val="68E524D9"/>
    <w:rsid w:val="68F56124"/>
    <w:rsid w:val="69142C4D"/>
    <w:rsid w:val="69203759"/>
    <w:rsid w:val="692B2ABD"/>
    <w:rsid w:val="692C203F"/>
    <w:rsid w:val="693A7364"/>
    <w:rsid w:val="693B4DD0"/>
    <w:rsid w:val="694A3E5A"/>
    <w:rsid w:val="6951741A"/>
    <w:rsid w:val="695471D5"/>
    <w:rsid w:val="69574279"/>
    <w:rsid w:val="695B0116"/>
    <w:rsid w:val="695E184A"/>
    <w:rsid w:val="695E20E1"/>
    <w:rsid w:val="696666E1"/>
    <w:rsid w:val="696C14EC"/>
    <w:rsid w:val="696D7C56"/>
    <w:rsid w:val="69710366"/>
    <w:rsid w:val="697F3AF8"/>
    <w:rsid w:val="6982416B"/>
    <w:rsid w:val="6993321C"/>
    <w:rsid w:val="6999612B"/>
    <w:rsid w:val="69A21546"/>
    <w:rsid w:val="69A31C02"/>
    <w:rsid w:val="69A41FBD"/>
    <w:rsid w:val="69A640F5"/>
    <w:rsid w:val="69A67D8D"/>
    <w:rsid w:val="69AA7F05"/>
    <w:rsid w:val="69AC5CC0"/>
    <w:rsid w:val="69B04154"/>
    <w:rsid w:val="69B5492E"/>
    <w:rsid w:val="69C73F2F"/>
    <w:rsid w:val="69CF3438"/>
    <w:rsid w:val="69D059C7"/>
    <w:rsid w:val="69D31EF9"/>
    <w:rsid w:val="69D51FC8"/>
    <w:rsid w:val="69E82D15"/>
    <w:rsid w:val="69F1502B"/>
    <w:rsid w:val="69F36985"/>
    <w:rsid w:val="69FC0457"/>
    <w:rsid w:val="6A0C0872"/>
    <w:rsid w:val="6A191437"/>
    <w:rsid w:val="6A355F36"/>
    <w:rsid w:val="6A364FB9"/>
    <w:rsid w:val="6A3B4A19"/>
    <w:rsid w:val="6A3D5DD4"/>
    <w:rsid w:val="6A4B4490"/>
    <w:rsid w:val="6A507E4F"/>
    <w:rsid w:val="6A51016C"/>
    <w:rsid w:val="6A511524"/>
    <w:rsid w:val="6A544C21"/>
    <w:rsid w:val="6A567F82"/>
    <w:rsid w:val="6A6C131F"/>
    <w:rsid w:val="6A6D7EC5"/>
    <w:rsid w:val="6A786A9A"/>
    <w:rsid w:val="6A7B5725"/>
    <w:rsid w:val="6A7D3C28"/>
    <w:rsid w:val="6A832618"/>
    <w:rsid w:val="6A924FFE"/>
    <w:rsid w:val="6A970383"/>
    <w:rsid w:val="6A98526E"/>
    <w:rsid w:val="6A9D0A82"/>
    <w:rsid w:val="6AA15E6A"/>
    <w:rsid w:val="6AA36169"/>
    <w:rsid w:val="6AA7077E"/>
    <w:rsid w:val="6AA837C1"/>
    <w:rsid w:val="6AB07FBB"/>
    <w:rsid w:val="6AB410F0"/>
    <w:rsid w:val="6AB54D6E"/>
    <w:rsid w:val="6ABE5CBC"/>
    <w:rsid w:val="6AC21956"/>
    <w:rsid w:val="6AC74450"/>
    <w:rsid w:val="6ACA3723"/>
    <w:rsid w:val="6ACE6AAE"/>
    <w:rsid w:val="6AD013B8"/>
    <w:rsid w:val="6AD13C1C"/>
    <w:rsid w:val="6AD47B4C"/>
    <w:rsid w:val="6AD61B6E"/>
    <w:rsid w:val="6ADA5E7B"/>
    <w:rsid w:val="6AE82520"/>
    <w:rsid w:val="6AEB3C10"/>
    <w:rsid w:val="6AEF4D0D"/>
    <w:rsid w:val="6AF17720"/>
    <w:rsid w:val="6AF97B94"/>
    <w:rsid w:val="6AFD0A20"/>
    <w:rsid w:val="6B1071BB"/>
    <w:rsid w:val="6B1E3D92"/>
    <w:rsid w:val="6B2E671B"/>
    <w:rsid w:val="6B2F2C23"/>
    <w:rsid w:val="6B3775A0"/>
    <w:rsid w:val="6B3F2454"/>
    <w:rsid w:val="6B40520E"/>
    <w:rsid w:val="6B425A49"/>
    <w:rsid w:val="6B44286F"/>
    <w:rsid w:val="6B445414"/>
    <w:rsid w:val="6B466069"/>
    <w:rsid w:val="6B472E92"/>
    <w:rsid w:val="6B49769A"/>
    <w:rsid w:val="6B4E4C15"/>
    <w:rsid w:val="6B50107F"/>
    <w:rsid w:val="6B5D78FB"/>
    <w:rsid w:val="6B6020B8"/>
    <w:rsid w:val="6B63094E"/>
    <w:rsid w:val="6B70194B"/>
    <w:rsid w:val="6B74133E"/>
    <w:rsid w:val="6B7F4179"/>
    <w:rsid w:val="6B8805D5"/>
    <w:rsid w:val="6B903B63"/>
    <w:rsid w:val="6B9F5861"/>
    <w:rsid w:val="6BA249F8"/>
    <w:rsid w:val="6BB051CE"/>
    <w:rsid w:val="6BB61015"/>
    <w:rsid w:val="6BC20418"/>
    <w:rsid w:val="6BCB0B8F"/>
    <w:rsid w:val="6BCF239D"/>
    <w:rsid w:val="6BDA76CC"/>
    <w:rsid w:val="6BE46A8F"/>
    <w:rsid w:val="6BEE7C2A"/>
    <w:rsid w:val="6C0F0BF5"/>
    <w:rsid w:val="6C21126D"/>
    <w:rsid w:val="6C225BB0"/>
    <w:rsid w:val="6C3670DC"/>
    <w:rsid w:val="6C3C0624"/>
    <w:rsid w:val="6C45660D"/>
    <w:rsid w:val="6C474003"/>
    <w:rsid w:val="6C4C2938"/>
    <w:rsid w:val="6C4D6573"/>
    <w:rsid w:val="6C587D78"/>
    <w:rsid w:val="6C5933D4"/>
    <w:rsid w:val="6C5A04E2"/>
    <w:rsid w:val="6C62079A"/>
    <w:rsid w:val="6C646822"/>
    <w:rsid w:val="6C6C3716"/>
    <w:rsid w:val="6C712EDE"/>
    <w:rsid w:val="6C7B08DC"/>
    <w:rsid w:val="6C7B56DF"/>
    <w:rsid w:val="6C82517F"/>
    <w:rsid w:val="6C851C19"/>
    <w:rsid w:val="6C8E574C"/>
    <w:rsid w:val="6C9C4BD5"/>
    <w:rsid w:val="6C9D4D87"/>
    <w:rsid w:val="6CA12F99"/>
    <w:rsid w:val="6CA20094"/>
    <w:rsid w:val="6CA80319"/>
    <w:rsid w:val="6CC9099D"/>
    <w:rsid w:val="6CD5257F"/>
    <w:rsid w:val="6CE80BD2"/>
    <w:rsid w:val="6CEE11F4"/>
    <w:rsid w:val="6CF723AA"/>
    <w:rsid w:val="6CFB0182"/>
    <w:rsid w:val="6D031213"/>
    <w:rsid w:val="6D05139A"/>
    <w:rsid w:val="6D0A5267"/>
    <w:rsid w:val="6D176604"/>
    <w:rsid w:val="6D1A532B"/>
    <w:rsid w:val="6D1C5D6C"/>
    <w:rsid w:val="6D2D003E"/>
    <w:rsid w:val="6D34585B"/>
    <w:rsid w:val="6D3E4FA2"/>
    <w:rsid w:val="6D407BD9"/>
    <w:rsid w:val="6D4301EC"/>
    <w:rsid w:val="6D492C8A"/>
    <w:rsid w:val="6D533E64"/>
    <w:rsid w:val="6D541849"/>
    <w:rsid w:val="6D691A37"/>
    <w:rsid w:val="6D73464C"/>
    <w:rsid w:val="6D902632"/>
    <w:rsid w:val="6D9F28FC"/>
    <w:rsid w:val="6DA34B4E"/>
    <w:rsid w:val="6DAC2DD0"/>
    <w:rsid w:val="6DB15CF7"/>
    <w:rsid w:val="6DB16CB8"/>
    <w:rsid w:val="6DB34E13"/>
    <w:rsid w:val="6DBC10BD"/>
    <w:rsid w:val="6DC25332"/>
    <w:rsid w:val="6DCD0C2F"/>
    <w:rsid w:val="6DCD2004"/>
    <w:rsid w:val="6DCF6AB5"/>
    <w:rsid w:val="6DD76CBA"/>
    <w:rsid w:val="6DE23E21"/>
    <w:rsid w:val="6DE8507F"/>
    <w:rsid w:val="6DFB6BFB"/>
    <w:rsid w:val="6DFE307B"/>
    <w:rsid w:val="6DFE316F"/>
    <w:rsid w:val="6E071DE1"/>
    <w:rsid w:val="6E090219"/>
    <w:rsid w:val="6E1472B6"/>
    <w:rsid w:val="6E1F31CD"/>
    <w:rsid w:val="6E313F3A"/>
    <w:rsid w:val="6E333D20"/>
    <w:rsid w:val="6E364D0E"/>
    <w:rsid w:val="6E384DD5"/>
    <w:rsid w:val="6E3B2958"/>
    <w:rsid w:val="6E3C1E3F"/>
    <w:rsid w:val="6E3D5349"/>
    <w:rsid w:val="6E5261EF"/>
    <w:rsid w:val="6E5601FD"/>
    <w:rsid w:val="6E583501"/>
    <w:rsid w:val="6E5D1B0D"/>
    <w:rsid w:val="6E62017E"/>
    <w:rsid w:val="6E6D63FC"/>
    <w:rsid w:val="6E703BBC"/>
    <w:rsid w:val="6E7847F3"/>
    <w:rsid w:val="6E7913CA"/>
    <w:rsid w:val="6E793092"/>
    <w:rsid w:val="6E793B09"/>
    <w:rsid w:val="6E7B679D"/>
    <w:rsid w:val="6E956EC5"/>
    <w:rsid w:val="6E9A5449"/>
    <w:rsid w:val="6E9F5FDD"/>
    <w:rsid w:val="6EA70C54"/>
    <w:rsid w:val="6EA86AD7"/>
    <w:rsid w:val="6EA962E1"/>
    <w:rsid w:val="6EB62F98"/>
    <w:rsid w:val="6EBC4F8C"/>
    <w:rsid w:val="6EC05014"/>
    <w:rsid w:val="6EC6316A"/>
    <w:rsid w:val="6EC76127"/>
    <w:rsid w:val="6EC93374"/>
    <w:rsid w:val="6EC94F15"/>
    <w:rsid w:val="6ECD1E70"/>
    <w:rsid w:val="6ED676A9"/>
    <w:rsid w:val="6EE35F10"/>
    <w:rsid w:val="6EEA386D"/>
    <w:rsid w:val="6EEC4E98"/>
    <w:rsid w:val="6EED4FDF"/>
    <w:rsid w:val="6EF90F56"/>
    <w:rsid w:val="6F035190"/>
    <w:rsid w:val="6F0E415D"/>
    <w:rsid w:val="6F0F1A40"/>
    <w:rsid w:val="6F155EBF"/>
    <w:rsid w:val="6F162F83"/>
    <w:rsid w:val="6F1B0277"/>
    <w:rsid w:val="6F2864A2"/>
    <w:rsid w:val="6F2A3020"/>
    <w:rsid w:val="6F2B799D"/>
    <w:rsid w:val="6F301F97"/>
    <w:rsid w:val="6F3124B7"/>
    <w:rsid w:val="6F405294"/>
    <w:rsid w:val="6F427317"/>
    <w:rsid w:val="6F4B474D"/>
    <w:rsid w:val="6F4B6255"/>
    <w:rsid w:val="6F55208E"/>
    <w:rsid w:val="6F5863A9"/>
    <w:rsid w:val="6F732F5D"/>
    <w:rsid w:val="6F794E11"/>
    <w:rsid w:val="6F810403"/>
    <w:rsid w:val="6F82299D"/>
    <w:rsid w:val="6F8F7CC8"/>
    <w:rsid w:val="6F92077B"/>
    <w:rsid w:val="6F927BCD"/>
    <w:rsid w:val="6F97268A"/>
    <w:rsid w:val="6FA9194A"/>
    <w:rsid w:val="6FA9675E"/>
    <w:rsid w:val="6FAD08A5"/>
    <w:rsid w:val="6FB41965"/>
    <w:rsid w:val="6FBA3CFC"/>
    <w:rsid w:val="6FBF22E7"/>
    <w:rsid w:val="6FC917B2"/>
    <w:rsid w:val="6FD254FA"/>
    <w:rsid w:val="6FD33456"/>
    <w:rsid w:val="6FE458C8"/>
    <w:rsid w:val="6FF36580"/>
    <w:rsid w:val="70040F0B"/>
    <w:rsid w:val="70086925"/>
    <w:rsid w:val="700E11E1"/>
    <w:rsid w:val="70134F0F"/>
    <w:rsid w:val="70136023"/>
    <w:rsid w:val="70140EF2"/>
    <w:rsid w:val="701874A7"/>
    <w:rsid w:val="701E1D7B"/>
    <w:rsid w:val="7022769D"/>
    <w:rsid w:val="7036159B"/>
    <w:rsid w:val="703626E8"/>
    <w:rsid w:val="703C6B79"/>
    <w:rsid w:val="70401830"/>
    <w:rsid w:val="704037F6"/>
    <w:rsid w:val="704A67C0"/>
    <w:rsid w:val="704C40D8"/>
    <w:rsid w:val="704D1291"/>
    <w:rsid w:val="704E3A5A"/>
    <w:rsid w:val="7055299A"/>
    <w:rsid w:val="70770801"/>
    <w:rsid w:val="70796C9B"/>
    <w:rsid w:val="707F64D2"/>
    <w:rsid w:val="708B5AF8"/>
    <w:rsid w:val="70A05C63"/>
    <w:rsid w:val="70A50AAD"/>
    <w:rsid w:val="70A84CBC"/>
    <w:rsid w:val="70B50D3C"/>
    <w:rsid w:val="70C014CE"/>
    <w:rsid w:val="70C208D9"/>
    <w:rsid w:val="70C31C7A"/>
    <w:rsid w:val="70C34947"/>
    <w:rsid w:val="70D94E2D"/>
    <w:rsid w:val="70DB351E"/>
    <w:rsid w:val="70E55116"/>
    <w:rsid w:val="70E62F36"/>
    <w:rsid w:val="70EA6E44"/>
    <w:rsid w:val="70EB3054"/>
    <w:rsid w:val="70F3465C"/>
    <w:rsid w:val="70FA3ED2"/>
    <w:rsid w:val="70FF1FCA"/>
    <w:rsid w:val="71033454"/>
    <w:rsid w:val="710A7721"/>
    <w:rsid w:val="71161D45"/>
    <w:rsid w:val="712257AE"/>
    <w:rsid w:val="71263EE7"/>
    <w:rsid w:val="71286E59"/>
    <w:rsid w:val="712A24BC"/>
    <w:rsid w:val="712E6D94"/>
    <w:rsid w:val="71303FF7"/>
    <w:rsid w:val="713B1BE3"/>
    <w:rsid w:val="713E0FAF"/>
    <w:rsid w:val="713E1625"/>
    <w:rsid w:val="7150719C"/>
    <w:rsid w:val="71566694"/>
    <w:rsid w:val="71666FBF"/>
    <w:rsid w:val="716E30B6"/>
    <w:rsid w:val="71753687"/>
    <w:rsid w:val="7176121E"/>
    <w:rsid w:val="717C37FB"/>
    <w:rsid w:val="7180595D"/>
    <w:rsid w:val="718379A0"/>
    <w:rsid w:val="71846E98"/>
    <w:rsid w:val="71866BFA"/>
    <w:rsid w:val="719D0E0D"/>
    <w:rsid w:val="71A351C3"/>
    <w:rsid w:val="71A7451A"/>
    <w:rsid w:val="71AA3494"/>
    <w:rsid w:val="71C94FF8"/>
    <w:rsid w:val="71CA72B7"/>
    <w:rsid w:val="71CE58A8"/>
    <w:rsid w:val="71D844F0"/>
    <w:rsid w:val="71E42396"/>
    <w:rsid w:val="71E53550"/>
    <w:rsid w:val="71F61FAF"/>
    <w:rsid w:val="71F6549C"/>
    <w:rsid w:val="72016B17"/>
    <w:rsid w:val="72037A86"/>
    <w:rsid w:val="72070567"/>
    <w:rsid w:val="720832D1"/>
    <w:rsid w:val="721820E8"/>
    <w:rsid w:val="72263B60"/>
    <w:rsid w:val="72296162"/>
    <w:rsid w:val="722F3D95"/>
    <w:rsid w:val="72357E1D"/>
    <w:rsid w:val="723E5C1D"/>
    <w:rsid w:val="72412777"/>
    <w:rsid w:val="72421100"/>
    <w:rsid w:val="72466777"/>
    <w:rsid w:val="72472455"/>
    <w:rsid w:val="72475B15"/>
    <w:rsid w:val="7249175A"/>
    <w:rsid w:val="724A7735"/>
    <w:rsid w:val="724B4FC3"/>
    <w:rsid w:val="724B6EAA"/>
    <w:rsid w:val="7251008C"/>
    <w:rsid w:val="72510DB0"/>
    <w:rsid w:val="72524728"/>
    <w:rsid w:val="7264380C"/>
    <w:rsid w:val="72655128"/>
    <w:rsid w:val="72753454"/>
    <w:rsid w:val="72790D25"/>
    <w:rsid w:val="7281671A"/>
    <w:rsid w:val="72847AD6"/>
    <w:rsid w:val="728853D4"/>
    <w:rsid w:val="7296701D"/>
    <w:rsid w:val="72976281"/>
    <w:rsid w:val="72A540BD"/>
    <w:rsid w:val="72B05960"/>
    <w:rsid w:val="72B46CC2"/>
    <w:rsid w:val="72B77FE8"/>
    <w:rsid w:val="72BE63DB"/>
    <w:rsid w:val="72C20026"/>
    <w:rsid w:val="72CB7486"/>
    <w:rsid w:val="72CC22BB"/>
    <w:rsid w:val="72CD758C"/>
    <w:rsid w:val="72DB65E9"/>
    <w:rsid w:val="72DD7321"/>
    <w:rsid w:val="72DF442A"/>
    <w:rsid w:val="72F24A65"/>
    <w:rsid w:val="72F31211"/>
    <w:rsid w:val="72F54B6D"/>
    <w:rsid w:val="73240091"/>
    <w:rsid w:val="732B518A"/>
    <w:rsid w:val="732D347B"/>
    <w:rsid w:val="733C3465"/>
    <w:rsid w:val="733F0E71"/>
    <w:rsid w:val="73413018"/>
    <w:rsid w:val="73516A9D"/>
    <w:rsid w:val="735D5D32"/>
    <w:rsid w:val="73615C65"/>
    <w:rsid w:val="73663820"/>
    <w:rsid w:val="737679BD"/>
    <w:rsid w:val="737C49E8"/>
    <w:rsid w:val="73861B28"/>
    <w:rsid w:val="738A768B"/>
    <w:rsid w:val="73951F01"/>
    <w:rsid w:val="739E19B9"/>
    <w:rsid w:val="73A54120"/>
    <w:rsid w:val="73A66055"/>
    <w:rsid w:val="73B4161F"/>
    <w:rsid w:val="73BF24FF"/>
    <w:rsid w:val="73C056CA"/>
    <w:rsid w:val="73C34980"/>
    <w:rsid w:val="73CF64B4"/>
    <w:rsid w:val="73D633AB"/>
    <w:rsid w:val="73E961AD"/>
    <w:rsid w:val="73EC0E7A"/>
    <w:rsid w:val="73ED6E5A"/>
    <w:rsid w:val="73EE7D7E"/>
    <w:rsid w:val="73EF4464"/>
    <w:rsid w:val="740D0AF4"/>
    <w:rsid w:val="741D6EF2"/>
    <w:rsid w:val="741E16F1"/>
    <w:rsid w:val="741E72A4"/>
    <w:rsid w:val="74222BD4"/>
    <w:rsid w:val="742730ED"/>
    <w:rsid w:val="74285F6A"/>
    <w:rsid w:val="742C18E8"/>
    <w:rsid w:val="742C2F67"/>
    <w:rsid w:val="743A2E84"/>
    <w:rsid w:val="743C5292"/>
    <w:rsid w:val="743F5567"/>
    <w:rsid w:val="7447498C"/>
    <w:rsid w:val="74563882"/>
    <w:rsid w:val="74582035"/>
    <w:rsid w:val="74640B96"/>
    <w:rsid w:val="7468249B"/>
    <w:rsid w:val="74733D02"/>
    <w:rsid w:val="74733E17"/>
    <w:rsid w:val="747532EE"/>
    <w:rsid w:val="7476638F"/>
    <w:rsid w:val="748100B8"/>
    <w:rsid w:val="74854C0E"/>
    <w:rsid w:val="74857B4E"/>
    <w:rsid w:val="74925966"/>
    <w:rsid w:val="749743C7"/>
    <w:rsid w:val="749B07FD"/>
    <w:rsid w:val="749F73E0"/>
    <w:rsid w:val="74A42BF0"/>
    <w:rsid w:val="74A61524"/>
    <w:rsid w:val="74A637EF"/>
    <w:rsid w:val="74A71A1F"/>
    <w:rsid w:val="74A8466D"/>
    <w:rsid w:val="74A91A2F"/>
    <w:rsid w:val="74AD74EC"/>
    <w:rsid w:val="74AF0800"/>
    <w:rsid w:val="74B64D03"/>
    <w:rsid w:val="74BD2C2F"/>
    <w:rsid w:val="74BE5DE1"/>
    <w:rsid w:val="74CA32B0"/>
    <w:rsid w:val="74DB2B9A"/>
    <w:rsid w:val="74DF1C70"/>
    <w:rsid w:val="74E27438"/>
    <w:rsid w:val="751A61DC"/>
    <w:rsid w:val="753072DF"/>
    <w:rsid w:val="75327726"/>
    <w:rsid w:val="753A5B72"/>
    <w:rsid w:val="753F3F75"/>
    <w:rsid w:val="75435F96"/>
    <w:rsid w:val="754C6358"/>
    <w:rsid w:val="754F762F"/>
    <w:rsid w:val="756512DB"/>
    <w:rsid w:val="757119C8"/>
    <w:rsid w:val="75754B8A"/>
    <w:rsid w:val="758A3ED5"/>
    <w:rsid w:val="758C04DF"/>
    <w:rsid w:val="75A44463"/>
    <w:rsid w:val="75A87F29"/>
    <w:rsid w:val="75AB66E2"/>
    <w:rsid w:val="75B5385E"/>
    <w:rsid w:val="75BC3006"/>
    <w:rsid w:val="75BD00ED"/>
    <w:rsid w:val="75D81426"/>
    <w:rsid w:val="75D946AC"/>
    <w:rsid w:val="75DB4388"/>
    <w:rsid w:val="75ED2FEB"/>
    <w:rsid w:val="75EE7EDD"/>
    <w:rsid w:val="75F0488B"/>
    <w:rsid w:val="76024806"/>
    <w:rsid w:val="7606296A"/>
    <w:rsid w:val="760829EC"/>
    <w:rsid w:val="76241384"/>
    <w:rsid w:val="762E6F08"/>
    <w:rsid w:val="76355B09"/>
    <w:rsid w:val="763949EE"/>
    <w:rsid w:val="763B621C"/>
    <w:rsid w:val="76446B83"/>
    <w:rsid w:val="764649CA"/>
    <w:rsid w:val="764F0CC9"/>
    <w:rsid w:val="76571103"/>
    <w:rsid w:val="765B2E08"/>
    <w:rsid w:val="766E63CB"/>
    <w:rsid w:val="766F6C44"/>
    <w:rsid w:val="767221CF"/>
    <w:rsid w:val="76780153"/>
    <w:rsid w:val="767B4C64"/>
    <w:rsid w:val="7691319C"/>
    <w:rsid w:val="7696477F"/>
    <w:rsid w:val="76987C99"/>
    <w:rsid w:val="76A8295B"/>
    <w:rsid w:val="76BC29FD"/>
    <w:rsid w:val="76BC5F07"/>
    <w:rsid w:val="76C242DD"/>
    <w:rsid w:val="76C323A7"/>
    <w:rsid w:val="76D517BB"/>
    <w:rsid w:val="76D562FF"/>
    <w:rsid w:val="76DA77A4"/>
    <w:rsid w:val="76DC13FE"/>
    <w:rsid w:val="76DC2E26"/>
    <w:rsid w:val="76E203B2"/>
    <w:rsid w:val="76EB5568"/>
    <w:rsid w:val="76F1470C"/>
    <w:rsid w:val="76FB2A77"/>
    <w:rsid w:val="76FB5746"/>
    <w:rsid w:val="77063F14"/>
    <w:rsid w:val="77132E29"/>
    <w:rsid w:val="77271E38"/>
    <w:rsid w:val="772B6541"/>
    <w:rsid w:val="77354CEB"/>
    <w:rsid w:val="773E5563"/>
    <w:rsid w:val="774D0CC4"/>
    <w:rsid w:val="774E3043"/>
    <w:rsid w:val="774E7324"/>
    <w:rsid w:val="77567B8E"/>
    <w:rsid w:val="77592A69"/>
    <w:rsid w:val="7763245C"/>
    <w:rsid w:val="77653890"/>
    <w:rsid w:val="77806B96"/>
    <w:rsid w:val="778A48E7"/>
    <w:rsid w:val="779D321D"/>
    <w:rsid w:val="77A67830"/>
    <w:rsid w:val="77A74A53"/>
    <w:rsid w:val="77AC1670"/>
    <w:rsid w:val="77B20BEB"/>
    <w:rsid w:val="77B37101"/>
    <w:rsid w:val="77B400A4"/>
    <w:rsid w:val="77BA4302"/>
    <w:rsid w:val="77C571F1"/>
    <w:rsid w:val="77C76391"/>
    <w:rsid w:val="77DB66D3"/>
    <w:rsid w:val="77E3377A"/>
    <w:rsid w:val="77E46381"/>
    <w:rsid w:val="77F0420C"/>
    <w:rsid w:val="77F305B3"/>
    <w:rsid w:val="77F513B0"/>
    <w:rsid w:val="781217BA"/>
    <w:rsid w:val="781D0946"/>
    <w:rsid w:val="781D25A2"/>
    <w:rsid w:val="78204548"/>
    <w:rsid w:val="78393571"/>
    <w:rsid w:val="784648F9"/>
    <w:rsid w:val="78502D3D"/>
    <w:rsid w:val="786067A2"/>
    <w:rsid w:val="787B5E54"/>
    <w:rsid w:val="787E48C4"/>
    <w:rsid w:val="78824C1B"/>
    <w:rsid w:val="78885D82"/>
    <w:rsid w:val="788D5F49"/>
    <w:rsid w:val="789557C0"/>
    <w:rsid w:val="78962B24"/>
    <w:rsid w:val="78A7290C"/>
    <w:rsid w:val="78AD7981"/>
    <w:rsid w:val="78B05445"/>
    <w:rsid w:val="78B67B9D"/>
    <w:rsid w:val="78BB4EF8"/>
    <w:rsid w:val="78BB6A47"/>
    <w:rsid w:val="78D37ADE"/>
    <w:rsid w:val="78DB171D"/>
    <w:rsid w:val="78E33617"/>
    <w:rsid w:val="78E64F9A"/>
    <w:rsid w:val="78EE74D1"/>
    <w:rsid w:val="78EF7BEA"/>
    <w:rsid w:val="78F04611"/>
    <w:rsid w:val="78F710E9"/>
    <w:rsid w:val="78F84DC9"/>
    <w:rsid w:val="78FF474A"/>
    <w:rsid w:val="79052038"/>
    <w:rsid w:val="7905521A"/>
    <w:rsid w:val="790B7A7C"/>
    <w:rsid w:val="790F290D"/>
    <w:rsid w:val="791063D5"/>
    <w:rsid w:val="79147ADA"/>
    <w:rsid w:val="79187D25"/>
    <w:rsid w:val="791C4431"/>
    <w:rsid w:val="79233D48"/>
    <w:rsid w:val="79247B19"/>
    <w:rsid w:val="7931571A"/>
    <w:rsid w:val="793800A0"/>
    <w:rsid w:val="793A4B2A"/>
    <w:rsid w:val="79492DA9"/>
    <w:rsid w:val="79520979"/>
    <w:rsid w:val="79576830"/>
    <w:rsid w:val="79675956"/>
    <w:rsid w:val="7968144C"/>
    <w:rsid w:val="796D73B4"/>
    <w:rsid w:val="7977606C"/>
    <w:rsid w:val="797937F4"/>
    <w:rsid w:val="797F0518"/>
    <w:rsid w:val="798650F9"/>
    <w:rsid w:val="799D737A"/>
    <w:rsid w:val="79A643BE"/>
    <w:rsid w:val="79AC28DE"/>
    <w:rsid w:val="79B01A99"/>
    <w:rsid w:val="79BF020F"/>
    <w:rsid w:val="79C90142"/>
    <w:rsid w:val="79CA7D05"/>
    <w:rsid w:val="79CD4D1A"/>
    <w:rsid w:val="79CE163C"/>
    <w:rsid w:val="79D5120E"/>
    <w:rsid w:val="79E60F7D"/>
    <w:rsid w:val="79ED0D9E"/>
    <w:rsid w:val="79F10893"/>
    <w:rsid w:val="79FC5C5A"/>
    <w:rsid w:val="79FD30F7"/>
    <w:rsid w:val="7A106C92"/>
    <w:rsid w:val="7A1D6B3F"/>
    <w:rsid w:val="7A241951"/>
    <w:rsid w:val="7A35391C"/>
    <w:rsid w:val="7A36408D"/>
    <w:rsid w:val="7A4A776C"/>
    <w:rsid w:val="7A4D2520"/>
    <w:rsid w:val="7A522E48"/>
    <w:rsid w:val="7A5643FD"/>
    <w:rsid w:val="7A584C99"/>
    <w:rsid w:val="7A5D7808"/>
    <w:rsid w:val="7A621426"/>
    <w:rsid w:val="7A643FF9"/>
    <w:rsid w:val="7A6540F4"/>
    <w:rsid w:val="7A764047"/>
    <w:rsid w:val="7A8029CD"/>
    <w:rsid w:val="7A804A80"/>
    <w:rsid w:val="7A855268"/>
    <w:rsid w:val="7A915AD5"/>
    <w:rsid w:val="7A9A6589"/>
    <w:rsid w:val="7AAE77A0"/>
    <w:rsid w:val="7AB45DA5"/>
    <w:rsid w:val="7AC11159"/>
    <w:rsid w:val="7AC772A6"/>
    <w:rsid w:val="7AC81386"/>
    <w:rsid w:val="7AD35C93"/>
    <w:rsid w:val="7ADA5A8F"/>
    <w:rsid w:val="7AE4216C"/>
    <w:rsid w:val="7AE60923"/>
    <w:rsid w:val="7AEF311D"/>
    <w:rsid w:val="7AF701EB"/>
    <w:rsid w:val="7AFA0C6B"/>
    <w:rsid w:val="7B046B83"/>
    <w:rsid w:val="7B06720B"/>
    <w:rsid w:val="7B091833"/>
    <w:rsid w:val="7B095C88"/>
    <w:rsid w:val="7B151DE5"/>
    <w:rsid w:val="7B1E44DB"/>
    <w:rsid w:val="7B210ACB"/>
    <w:rsid w:val="7B236903"/>
    <w:rsid w:val="7B245748"/>
    <w:rsid w:val="7B271F7F"/>
    <w:rsid w:val="7B337DDD"/>
    <w:rsid w:val="7B3B684A"/>
    <w:rsid w:val="7B4B456D"/>
    <w:rsid w:val="7B524E4A"/>
    <w:rsid w:val="7B5432AF"/>
    <w:rsid w:val="7B58227A"/>
    <w:rsid w:val="7B5B5DD6"/>
    <w:rsid w:val="7B697985"/>
    <w:rsid w:val="7B776508"/>
    <w:rsid w:val="7B7911FA"/>
    <w:rsid w:val="7B7F50ED"/>
    <w:rsid w:val="7B86210E"/>
    <w:rsid w:val="7B8D0123"/>
    <w:rsid w:val="7B9076FA"/>
    <w:rsid w:val="7B940EF7"/>
    <w:rsid w:val="7BA02D0A"/>
    <w:rsid w:val="7BA119D1"/>
    <w:rsid w:val="7BA83504"/>
    <w:rsid w:val="7BB3383E"/>
    <w:rsid w:val="7BB609BB"/>
    <w:rsid w:val="7BB843DA"/>
    <w:rsid w:val="7BBF3D16"/>
    <w:rsid w:val="7BBF6446"/>
    <w:rsid w:val="7BC816A4"/>
    <w:rsid w:val="7BCC25D5"/>
    <w:rsid w:val="7BCC3A6E"/>
    <w:rsid w:val="7BCD4346"/>
    <w:rsid w:val="7BD54E79"/>
    <w:rsid w:val="7BD83D0D"/>
    <w:rsid w:val="7BDC3C10"/>
    <w:rsid w:val="7BE941FC"/>
    <w:rsid w:val="7BEB0251"/>
    <w:rsid w:val="7BFB2E5D"/>
    <w:rsid w:val="7C017714"/>
    <w:rsid w:val="7C071F81"/>
    <w:rsid w:val="7C0C4373"/>
    <w:rsid w:val="7C1320B1"/>
    <w:rsid w:val="7C142D3C"/>
    <w:rsid w:val="7C18766E"/>
    <w:rsid w:val="7C26008A"/>
    <w:rsid w:val="7C263024"/>
    <w:rsid w:val="7C28578C"/>
    <w:rsid w:val="7C28697F"/>
    <w:rsid w:val="7C390882"/>
    <w:rsid w:val="7C3C49EC"/>
    <w:rsid w:val="7C3D0E1F"/>
    <w:rsid w:val="7C3F4350"/>
    <w:rsid w:val="7C577BE1"/>
    <w:rsid w:val="7C80009A"/>
    <w:rsid w:val="7C8C7AE8"/>
    <w:rsid w:val="7C8E23B0"/>
    <w:rsid w:val="7C977ADA"/>
    <w:rsid w:val="7C991012"/>
    <w:rsid w:val="7CA02F1D"/>
    <w:rsid w:val="7CA53C6C"/>
    <w:rsid w:val="7CA55386"/>
    <w:rsid w:val="7CA63C49"/>
    <w:rsid w:val="7CB90B38"/>
    <w:rsid w:val="7CBA1E30"/>
    <w:rsid w:val="7CBC621B"/>
    <w:rsid w:val="7CCC23F7"/>
    <w:rsid w:val="7CCD5CCE"/>
    <w:rsid w:val="7CD3136C"/>
    <w:rsid w:val="7CD33DA0"/>
    <w:rsid w:val="7CD95C6D"/>
    <w:rsid w:val="7CE44E2C"/>
    <w:rsid w:val="7CE66BC7"/>
    <w:rsid w:val="7CF44F87"/>
    <w:rsid w:val="7CF833DD"/>
    <w:rsid w:val="7D144557"/>
    <w:rsid w:val="7D1F40BE"/>
    <w:rsid w:val="7D340979"/>
    <w:rsid w:val="7D3F4771"/>
    <w:rsid w:val="7D497350"/>
    <w:rsid w:val="7D4A2C11"/>
    <w:rsid w:val="7D53354C"/>
    <w:rsid w:val="7D67336A"/>
    <w:rsid w:val="7D6D38A8"/>
    <w:rsid w:val="7D764AE3"/>
    <w:rsid w:val="7D883168"/>
    <w:rsid w:val="7D8946C1"/>
    <w:rsid w:val="7D9A5B86"/>
    <w:rsid w:val="7DAE2623"/>
    <w:rsid w:val="7DAF05BB"/>
    <w:rsid w:val="7DB55708"/>
    <w:rsid w:val="7DB723B8"/>
    <w:rsid w:val="7DBC08DD"/>
    <w:rsid w:val="7DC30F1A"/>
    <w:rsid w:val="7DC52813"/>
    <w:rsid w:val="7DC8289D"/>
    <w:rsid w:val="7DD57680"/>
    <w:rsid w:val="7DDA07B2"/>
    <w:rsid w:val="7DDF3926"/>
    <w:rsid w:val="7DDF75C4"/>
    <w:rsid w:val="7DEC569E"/>
    <w:rsid w:val="7DF203BB"/>
    <w:rsid w:val="7DF2526E"/>
    <w:rsid w:val="7DF87660"/>
    <w:rsid w:val="7DFB5E32"/>
    <w:rsid w:val="7DFC7067"/>
    <w:rsid w:val="7DFD594F"/>
    <w:rsid w:val="7E0039EF"/>
    <w:rsid w:val="7E296257"/>
    <w:rsid w:val="7E3A3622"/>
    <w:rsid w:val="7E4373ED"/>
    <w:rsid w:val="7E452432"/>
    <w:rsid w:val="7E4806FA"/>
    <w:rsid w:val="7E4A52EA"/>
    <w:rsid w:val="7E4D3778"/>
    <w:rsid w:val="7E5E1945"/>
    <w:rsid w:val="7E625EE9"/>
    <w:rsid w:val="7E68291A"/>
    <w:rsid w:val="7E6F4ACA"/>
    <w:rsid w:val="7E7A684E"/>
    <w:rsid w:val="7E7F44FF"/>
    <w:rsid w:val="7E825169"/>
    <w:rsid w:val="7E8C0A2E"/>
    <w:rsid w:val="7E9332CE"/>
    <w:rsid w:val="7E96736F"/>
    <w:rsid w:val="7EA60F97"/>
    <w:rsid w:val="7EAE0422"/>
    <w:rsid w:val="7EB408A4"/>
    <w:rsid w:val="7EB50EFF"/>
    <w:rsid w:val="7EBC1482"/>
    <w:rsid w:val="7EC4569B"/>
    <w:rsid w:val="7EC46675"/>
    <w:rsid w:val="7ECB5152"/>
    <w:rsid w:val="7ECF0596"/>
    <w:rsid w:val="7ED27E0E"/>
    <w:rsid w:val="7ED438C1"/>
    <w:rsid w:val="7ED6210B"/>
    <w:rsid w:val="7ED75D77"/>
    <w:rsid w:val="7EEC4802"/>
    <w:rsid w:val="7EF55193"/>
    <w:rsid w:val="7EFE2176"/>
    <w:rsid w:val="7F062BAF"/>
    <w:rsid w:val="7F0934DC"/>
    <w:rsid w:val="7F117228"/>
    <w:rsid w:val="7F221646"/>
    <w:rsid w:val="7F221ADB"/>
    <w:rsid w:val="7F2561A2"/>
    <w:rsid w:val="7F33751E"/>
    <w:rsid w:val="7F354F84"/>
    <w:rsid w:val="7F436253"/>
    <w:rsid w:val="7F4E110D"/>
    <w:rsid w:val="7F5A43A8"/>
    <w:rsid w:val="7F5F5D54"/>
    <w:rsid w:val="7F617E50"/>
    <w:rsid w:val="7F6718A2"/>
    <w:rsid w:val="7F724FA7"/>
    <w:rsid w:val="7F7778A3"/>
    <w:rsid w:val="7F7A16A5"/>
    <w:rsid w:val="7F7E3CB7"/>
    <w:rsid w:val="7F894683"/>
    <w:rsid w:val="7F8E1AB2"/>
    <w:rsid w:val="7F8F13F8"/>
    <w:rsid w:val="7F9223EB"/>
    <w:rsid w:val="7F955446"/>
    <w:rsid w:val="7F957F2B"/>
    <w:rsid w:val="7F9727AA"/>
    <w:rsid w:val="7F986B3D"/>
    <w:rsid w:val="7F9A0A9C"/>
    <w:rsid w:val="7F9A593A"/>
    <w:rsid w:val="7F9B46AB"/>
    <w:rsid w:val="7FA20A4B"/>
    <w:rsid w:val="7FA25767"/>
    <w:rsid w:val="7FA877F8"/>
    <w:rsid w:val="7FAD5EBB"/>
    <w:rsid w:val="7FB77FFF"/>
    <w:rsid w:val="7FCD1AB3"/>
    <w:rsid w:val="7FD11006"/>
    <w:rsid w:val="7FD55E85"/>
    <w:rsid w:val="7FDC66C6"/>
    <w:rsid w:val="7FEA4577"/>
    <w:rsid w:val="7FF57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sz w:val="34"/>
      <w:szCs w:val="20"/>
    </w:rPr>
  </w:style>
  <w:style w:type="paragraph" w:styleId="3">
    <w:name w:val="Quote"/>
    <w:basedOn w:val="1"/>
    <w:next w:val="1"/>
    <w:qFormat/>
    <w:uiPriority w:val="0"/>
    <w:pPr>
      <w:wordWrap w:val="0"/>
      <w:spacing w:before="200" w:after="160"/>
      <w:ind w:left="864" w:right="864"/>
      <w:jc w:val="center"/>
    </w:pPr>
    <w:rPr>
      <w:i/>
    </w:rPr>
  </w:style>
  <w:style w:type="paragraph" w:styleId="7">
    <w:name w:val="Normal Indent"/>
    <w:basedOn w:val="1"/>
    <w:link w:val="35"/>
    <w:qFormat/>
    <w:uiPriority w:val="0"/>
    <w:pPr>
      <w:ind w:firstLine="200" w:firstLineChars="200"/>
    </w:pPr>
  </w:style>
  <w:style w:type="paragraph" w:styleId="8">
    <w:name w:val="Body Text Indent"/>
    <w:basedOn w:val="1"/>
    <w:qFormat/>
    <w:uiPriority w:val="0"/>
    <w:pPr>
      <w:ind w:firstLine="630"/>
    </w:pPr>
    <w:rPr>
      <w:sz w:val="32"/>
      <w:szCs w:val="20"/>
    </w:rPr>
  </w:style>
  <w:style w:type="paragraph" w:styleId="9">
    <w:name w:val="Plain Text"/>
    <w:basedOn w:val="1"/>
    <w:qFormat/>
    <w:uiPriority w:val="99"/>
    <w:rPr>
      <w:rFonts w:ascii="宋体" w:hAnsi="Courier New"/>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0"/>
  </w:style>
  <w:style w:type="paragraph" w:styleId="15">
    <w:name w:val="Normal (Web)"/>
    <w:basedOn w:val="1"/>
    <w:qFormat/>
    <w:uiPriority w:val="0"/>
    <w:pPr>
      <w:widowControl/>
      <w:spacing w:before="100" w:beforeAutospacing="1" w:after="100" w:afterAutospacing="1"/>
      <w:jc w:val="left"/>
    </w:pPr>
    <w:rPr>
      <w:rFonts w:ascii="宋体"/>
      <w:kern w:val="0"/>
      <w:sz w:val="18"/>
      <w:szCs w:val="18"/>
    </w:rPr>
  </w:style>
  <w:style w:type="paragraph" w:styleId="16">
    <w:name w:val="Body Text First Indent"/>
    <w:basedOn w:val="2"/>
    <w:qFormat/>
    <w:uiPriority w:val="0"/>
    <w:pPr>
      <w:ind w:firstLine="420" w:firstLineChars="100"/>
    </w:p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qFormat/>
    <w:uiPriority w:val="0"/>
  </w:style>
  <w:style w:type="character" w:styleId="21">
    <w:name w:val="Hyperlink"/>
    <w:basedOn w:val="19"/>
    <w:unhideWhenUsed/>
    <w:qFormat/>
    <w:uiPriority w:val="99"/>
    <w:rPr>
      <w:color w:val="0000FF"/>
      <w:u w:val="single"/>
    </w:r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正文格式"/>
    <w:basedOn w:val="1"/>
    <w:qFormat/>
    <w:uiPriority w:val="0"/>
    <w:pPr>
      <w:widowControl/>
      <w:spacing w:line="360" w:lineRule="auto"/>
      <w:ind w:firstLine="200" w:firstLineChars="200"/>
    </w:pPr>
    <w:rPr>
      <w:rFonts w:ascii="楷体_GB2312" w:cs="宋体"/>
    </w:rPr>
  </w:style>
  <w:style w:type="paragraph" w:customStyle="1" w:styleId="26">
    <w:name w:val="样式 首行缩进:  2 字符"/>
    <w:basedOn w:val="1"/>
    <w:qFormat/>
    <w:uiPriority w:val="0"/>
    <w:pPr>
      <w:spacing w:line="400" w:lineRule="exact"/>
      <w:ind w:firstLine="200" w:firstLineChars="200"/>
    </w:pPr>
    <w:rPr>
      <w:rFonts w:cs="宋体"/>
      <w:sz w:val="24"/>
    </w:rPr>
  </w:style>
  <w:style w:type="paragraph" w:customStyle="1" w:styleId="27">
    <w:name w:val="标准"/>
    <w:basedOn w:val="4"/>
    <w:qFormat/>
    <w:uiPriority w:val="0"/>
    <w:pPr>
      <w:spacing w:line="400" w:lineRule="exact"/>
      <w:jc w:val="center"/>
    </w:pPr>
    <w:rPr>
      <w:rFonts w:ascii="仿宋_GB2312" w:hAnsi="宋体" w:eastAsia="仿宋_GB2312"/>
      <w:sz w:val="24"/>
      <w:szCs w:val="24"/>
    </w:rPr>
  </w:style>
  <w:style w:type="paragraph" w:customStyle="1" w:styleId="28">
    <w:name w:val="表格"/>
    <w:basedOn w:val="1"/>
    <w:qFormat/>
    <w:uiPriority w:val="0"/>
    <w:pPr>
      <w:jc w:val="center"/>
      <w:textAlignment w:val="center"/>
    </w:pPr>
    <w:rPr>
      <w:rFonts w:ascii="华文细黑" w:hAnsi="华文细黑"/>
      <w:kern w:val="0"/>
    </w:rPr>
  </w:style>
  <w:style w:type="paragraph" w:customStyle="1" w:styleId="29">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30">
    <w:name w:val="正文1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1">
    <w:name w:val="批注框文本 Char"/>
    <w:link w:val="11"/>
    <w:qFormat/>
    <w:uiPriority w:val="0"/>
    <w:rPr>
      <w:kern w:val="2"/>
      <w:sz w:val="18"/>
      <w:szCs w:val="18"/>
    </w:rPr>
  </w:style>
  <w:style w:type="character" w:customStyle="1" w:styleId="32">
    <w:name w:val="main_articletitle"/>
    <w:basedOn w:val="19"/>
    <w:qFormat/>
    <w:uiPriority w:val="0"/>
  </w:style>
  <w:style w:type="paragraph" w:customStyle="1" w:styleId="33">
    <w:name w:val="Table Paragraph"/>
    <w:basedOn w:val="1"/>
    <w:qFormat/>
    <w:uiPriority w:val="1"/>
    <w:rPr>
      <w:rFonts w:ascii="宋体" w:hAnsi="宋体" w:cs="宋体"/>
      <w:lang w:val="zh-CN" w:bidi="zh-CN"/>
    </w:rPr>
  </w:style>
  <w:style w:type="paragraph" w:styleId="34">
    <w:name w:val="List Paragraph"/>
    <w:basedOn w:val="1"/>
    <w:qFormat/>
    <w:uiPriority w:val="34"/>
    <w:pPr>
      <w:ind w:firstLine="420" w:firstLineChars="200"/>
    </w:pPr>
    <w:rPr>
      <w:rFonts w:ascii="Calibri" w:hAnsi="Calibri"/>
      <w:sz w:val="28"/>
      <w:szCs w:val="22"/>
    </w:rPr>
  </w:style>
  <w:style w:type="character" w:customStyle="1" w:styleId="35">
    <w:name w:val="正文缩进 Char"/>
    <w:link w:val="7"/>
    <w:qFormat/>
    <w:locked/>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28824</Words>
  <Characters>29928</Characters>
  <Lines>236</Lines>
  <Paragraphs>66</Paragraphs>
  <TotalTime>1</TotalTime>
  <ScaleCrop>false</ScaleCrop>
  <LinksUpToDate>false</LinksUpToDate>
  <CharactersWithSpaces>31141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2021-01-29T01:05:00Z</dcterms:created>
  <dc:creator>dreamsummit</dc:creator>
  <cp:lastModifiedBy>T</cp:lastModifiedBy>
  <cp:lastPrinted>2021-01-27T07:38:00Z</cp:lastPrinted>
  <dcterms:modified xsi:type="dcterms:W3CDTF">2022-07-10T03:18:07Z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73EFBD4659864D97AC7AD6D2E3CE19FD</vt:lpwstr>
  </property>
</Properties>
</file>