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sz w:val="28"/>
          <w:szCs w:val="28"/>
          <w:lang w:val="en-US" w:eastAsia="zh-CN"/>
        </w:rPr>
      </w:pPr>
      <w:bookmarkStart w:id="0" w:name="_Toc465158173"/>
      <w:bookmarkStart w:id="1" w:name="_Toc308164966"/>
      <w:bookmarkStart w:id="2" w:name="_Toc308164840"/>
      <w:r>
        <w:rPr>
          <w:rFonts w:hint="eastAsia" w:ascii="宋体" w:hAnsi="宋体" w:eastAsia="宋体" w:cs="宋体"/>
          <w:b/>
          <w:sz w:val="28"/>
          <w:szCs w:val="28"/>
          <w:lang w:val="en-US" w:eastAsia="zh-CN"/>
        </w:rPr>
        <w:t>附件2：</w:t>
      </w:r>
    </w:p>
    <w:p>
      <w:pPr>
        <w:spacing w:line="360" w:lineRule="auto"/>
        <w:jc w:val="center"/>
        <w:rPr>
          <w:rFonts w:hint="eastAsia" w:ascii="宋体" w:hAnsi="宋体"/>
          <w:b/>
          <w:sz w:val="32"/>
          <w:szCs w:val="24"/>
          <w:lang w:val="en-US" w:eastAsia="zh-CN"/>
        </w:rPr>
      </w:pPr>
      <w:r>
        <w:rPr>
          <w:rFonts w:hint="eastAsia" w:ascii="宋体" w:hAnsi="宋体"/>
          <w:b/>
          <w:sz w:val="32"/>
          <w:szCs w:val="24"/>
          <w:lang w:val="en-US" w:eastAsia="zh-CN"/>
        </w:rPr>
        <w:t>南江县妇幼保健院</w:t>
      </w:r>
    </w:p>
    <w:p>
      <w:pPr>
        <w:spacing w:line="360" w:lineRule="auto"/>
        <w:jc w:val="center"/>
        <w:rPr>
          <w:rFonts w:hint="eastAsia" w:ascii="宋体" w:hAnsi="宋体"/>
          <w:b/>
          <w:sz w:val="32"/>
          <w:szCs w:val="24"/>
        </w:rPr>
      </w:pPr>
      <w:r>
        <w:rPr>
          <w:rFonts w:hint="eastAsia" w:ascii="宋体" w:hAnsi="宋体"/>
          <w:b/>
          <w:sz w:val="32"/>
          <w:szCs w:val="24"/>
          <w:lang w:val="en-US" w:eastAsia="zh-CN"/>
        </w:rPr>
        <w:t>信息系统安全等级保护测评服务</w:t>
      </w:r>
      <w:r>
        <w:rPr>
          <w:rFonts w:hint="eastAsia" w:ascii="宋体" w:hAnsi="宋体"/>
          <w:b/>
          <w:sz w:val="32"/>
          <w:szCs w:val="24"/>
        </w:rPr>
        <w:t>项目技术服务方案及</w:t>
      </w:r>
      <w:bookmarkEnd w:id="0"/>
      <w:bookmarkEnd w:id="1"/>
      <w:bookmarkEnd w:id="2"/>
    </w:p>
    <w:p>
      <w:pPr>
        <w:spacing w:line="360" w:lineRule="auto"/>
        <w:jc w:val="center"/>
        <w:rPr>
          <w:rFonts w:ascii="宋体" w:hAnsi="宋体"/>
          <w:b/>
          <w:sz w:val="32"/>
          <w:szCs w:val="24"/>
        </w:rPr>
      </w:pPr>
      <w:r>
        <w:rPr>
          <w:rFonts w:hint="eastAsia" w:ascii="宋体" w:hAnsi="宋体"/>
          <w:b/>
          <w:sz w:val="32"/>
          <w:szCs w:val="24"/>
        </w:rPr>
        <w:t>评分标准</w:t>
      </w:r>
    </w:p>
    <w:p>
      <w:pPr>
        <w:spacing w:line="360" w:lineRule="auto"/>
        <w:rPr>
          <w:rFonts w:ascii="宋体" w:hAnsi="宋体"/>
          <w:b/>
          <w:sz w:val="24"/>
          <w:szCs w:val="24"/>
        </w:rPr>
      </w:pPr>
    </w:p>
    <w:p>
      <w:pPr>
        <w:spacing w:line="560" w:lineRule="exact"/>
        <w:rPr>
          <w:rFonts w:ascii="宋体" w:hAnsi="宋体"/>
          <w:b/>
          <w:sz w:val="24"/>
          <w:szCs w:val="24"/>
        </w:rPr>
      </w:pPr>
      <w:r>
        <w:rPr>
          <w:rFonts w:hint="eastAsia" w:ascii="宋体" w:hAnsi="宋体"/>
          <w:b/>
          <w:sz w:val="24"/>
          <w:szCs w:val="24"/>
        </w:rPr>
        <w:t>一：资格条件</w:t>
      </w:r>
    </w:p>
    <w:p>
      <w:pPr>
        <w:spacing w:line="560" w:lineRule="exact"/>
        <w:ind w:firstLine="480" w:firstLineChars="200"/>
        <w:rPr>
          <w:rFonts w:ascii="宋体" w:hAnsi="宋体"/>
          <w:sz w:val="24"/>
          <w:szCs w:val="24"/>
        </w:rPr>
      </w:pPr>
      <w:r>
        <w:rPr>
          <w:rFonts w:hint="eastAsia" w:ascii="宋体" w:hAnsi="宋体"/>
          <w:sz w:val="24"/>
          <w:szCs w:val="24"/>
        </w:rPr>
        <w:t>1、具有独立承担民事责任的能力；</w:t>
      </w:r>
      <w:bookmarkStart w:id="7" w:name="_GoBack"/>
      <w:bookmarkEnd w:id="7"/>
    </w:p>
    <w:p>
      <w:pPr>
        <w:spacing w:line="560" w:lineRule="exact"/>
        <w:ind w:firstLine="480" w:firstLineChars="200"/>
        <w:rPr>
          <w:rFonts w:ascii="宋体" w:hAnsi="宋体"/>
          <w:sz w:val="24"/>
          <w:szCs w:val="24"/>
        </w:rPr>
      </w:pPr>
      <w:r>
        <w:rPr>
          <w:rFonts w:hint="eastAsia" w:ascii="宋体" w:hAnsi="宋体"/>
          <w:sz w:val="24"/>
          <w:szCs w:val="24"/>
        </w:rPr>
        <w:t>2、具有良好的商业信誉和健全的财务会计制度；</w:t>
      </w:r>
    </w:p>
    <w:p>
      <w:pPr>
        <w:spacing w:line="560" w:lineRule="exact"/>
        <w:ind w:firstLine="480" w:firstLineChars="200"/>
        <w:rPr>
          <w:rFonts w:ascii="宋体" w:hAnsi="宋体"/>
          <w:sz w:val="24"/>
          <w:szCs w:val="24"/>
        </w:rPr>
      </w:pPr>
      <w:r>
        <w:rPr>
          <w:rFonts w:hint="eastAsia" w:ascii="宋体" w:hAnsi="宋体"/>
          <w:sz w:val="24"/>
          <w:szCs w:val="24"/>
        </w:rPr>
        <w:t>3、具有履行合同所必须的设备和专业技术能力；</w:t>
      </w:r>
    </w:p>
    <w:p>
      <w:pPr>
        <w:spacing w:line="560" w:lineRule="exact"/>
        <w:ind w:firstLine="480" w:firstLineChars="200"/>
        <w:rPr>
          <w:rFonts w:ascii="宋体" w:hAnsi="宋体"/>
          <w:sz w:val="24"/>
          <w:szCs w:val="24"/>
        </w:rPr>
      </w:pPr>
      <w:r>
        <w:rPr>
          <w:rFonts w:hint="eastAsia" w:ascii="宋体" w:hAnsi="宋体"/>
          <w:sz w:val="24"/>
          <w:szCs w:val="24"/>
        </w:rPr>
        <w:t>4、具有依法缴纳税收和社会保障资金的良好记录；</w:t>
      </w:r>
    </w:p>
    <w:p>
      <w:pPr>
        <w:spacing w:line="560" w:lineRule="exact"/>
        <w:ind w:firstLine="480" w:firstLineChars="200"/>
        <w:rPr>
          <w:rFonts w:ascii="宋体" w:hAnsi="宋体"/>
          <w:sz w:val="24"/>
          <w:szCs w:val="24"/>
        </w:rPr>
      </w:pPr>
      <w:r>
        <w:rPr>
          <w:rFonts w:hint="eastAsia" w:ascii="宋体" w:hAnsi="宋体"/>
          <w:sz w:val="24"/>
          <w:szCs w:val="24"/>
        </w:rPr>
        <w:t>5、参加本次政府采购活动前三年内，在经营活动中没有重大违法记录；</w:t>
      </w:r>
    </w:p>
    <w:p>
      <w:pPr>
        <w:spacing w:line="560" w:lineRule="exact"/>
        <w:ind w:firstLine="480" w:firstLineChars="200"/>
        <w:rPr>
          <w:rFonts w:ascii="宋体" w:hAnsi="宋体"/>
          <w:sz w:val="24"/>
          <w:szCs w:val="24"/>
        </w:rPr>
      </w:pPr>
      <w:r>
        <w:rPr>
          <w:rFonts w:hint="eastAsia" w:ascii="宋体" w:hAnsi="宋体"/>
          <w:sz w:val="24"/>
          <w:szCs w:val="24"/>
        </w:rPr>
        <w:t>6、</w:t>
      </w:r>
      <w:r>
        <w:rPr>
          <w:rFonts w:ascii="宋体" w:hAnsi="宋体"/>
          <w:sz w:val="24"/>
          <w:szCs w:val="24"/>
        </w:rPr>
        <w:t>法律、行政法规规定的其他条件；</w:t>
      </w:r>
    </w:p>
    <w:p>
      <w:pPr>
        <w:spacing w:line="560" w:lineRule="exact"/>
        <w:ind w:firstLine="480" w:firstLineChars="200"/>
        <w:rPr>
          <w:rFonts w:ascii="宋体" w:hAnsi="宋体"/>
          <w:sz w:val="24"/>
          <w:szCs w:val="24"/>
        </w:rPr>
      </w:pPr>
      <w:r>
        <w:rPr>
          <w:rFonts w:ascii="宋体" w:hAnsi="宋体"/>
          <w:sz w:val="24"/>
          <w:szCs w:val="24"/>
        </w:rPr>
        <w:t>7、</w:t>
      </w:r>
      <w:r>
        <w:rPr>
          <w:rFonts w:hint="eastAsia" w:ascii="宋体" w:hAnsi="宋体"/>
          <w:sz w:val="24"/>
          <w:szCs w:val="24"/>
        </w:rPr>
        <w:t>不允许联合体投标；</w:t>
      </w:r>
    </w:p>
    <w:p>
      <w:pPr>
        <w:spacing w:line="560" w:lineRule="exact"/>
        <w:ind w:firstLine="480" w:firstLineChars="200"/>
        <w:rPr>
          <w:rFonts w:ascii="宋体" w:hAnsi="宋体"/>
          <w:sz w:val="24"/>
          <w:szCs w:val="24"/>
        </w:rPr>
      </w:pPr>
      <w:r>
        <w:rPr>
          <w:rFonts w:ascii="宋体" w:hAnsi="宋体"/>
          <w:sz w:val="24"/>
          <w:szCs w:val="24"/>
        </w:rPr>
        <w:t>8</w:t>
      </w:r>
      <w:r>
        <w:rPr>
          <w:rFonts w:hint="eastAsia" w:ascii="宋体" w:hAnsi="宋体"/>
          <w:sz w:val="24"/>
          <w:szCs w:val="24"/>
        </w:rPr>
        <w:t>、具备公安部第三研究所颁发的《网络安全等级测评与检测评估机构服务认证证书》。</w:t>
      </w:r>
    </w:p>
    <w:p>
      <w:pPr>
        <w:spacing w:line="560" w:lineRule="exact"/>
        <w:rPr>
          <w:rFonts w:ascii="宋体" w:hAnsi="宋体"/>
          <w:b/>
          <w:sz w:val="24"/>
          <w:szCs w:val="24"/>
        </w:rPr>
      </w:pPr>
      <w:r>
        <w:rPr>
          <w:rFonts w:hint="eastAsia" w:ascii="宋体" w:hAnsi="宋体"/>
          <w:b/>
          <w:sz w:val="24"/>
          <w:szCs w:val="24"/>
        </w:rPr>
        <w:t>二：项目需求</w:t>
      </w:r>
    </w:p>
    <w:p>
      <w:pPr>
        <w:spacing w:line="560" w:lineRule="exact"/>
        <w:ind w:firstLine="480" w:firstLineChars="200"/>
        <w:rPr>
          <w:rFonts w:ascii="宋体" w:hAnsi="宋体"/>
          <w:sz w:val="24"/>
          <w:szCs w:val="24"/>
        </w:rPr>
      </w:pPr>
      <w:r>
        <w:rPr>
          <w:rFonts w:hint="eastAsia" w:ascii="宋体" w:hAnsi="宋体"/>
          <w:sz w:val="24"/>
          <w:szCs w:val="24"/>
        </w:rPr>
        <w:t>按照《中华人民共和国网络安全法》要求“</w:t>
      </w:r>
      <w:r>
        <w:rPr>
          <w:rFonts w:ascii="宋体" w:hAnsi="宋体"/>
          <w:sz w:val="24"/>
          <w:szCs w:val="24"/>
        </w:rPr>
        <w:t>国家实行网络安全等级保护制度。网络运营者应当按照网络安全等级保护制度的要求，履行下列安全保护义务，保障网络免受干扰、破坏或者未经授权的访问，防止网络数据泄露或者被窃取、篡改。</w:t>
      </w:r>
      <w:r>
        <w:rPr>
          <w:rFonts w:hint="eastAsia" w:ascii="宋体" w:hAnsi="宋体"/>
          <w:sz w:val="24"/>
          <w:szCs w:val="24"/>
        </w:rPr>
        <w:t>”以及《信息安全等级保护管理办法》要求“</w:t>
      </w:r>
      <w:r>
        <w:rPr>
          <w:rFonts w:ascii="宋体" w:hAnsi="宋体"/>
          <w:sz w:val="24"/>
          <w:szCs w:val="24"/>
        </w:rPr>
        <w:t>信息系统建设完成后，运营、使用单位或者其主管部门应当选择符合本办法规定条件的测评机构，依据《信息系统安全等级保护测评要求》等技术标准，定期对信息系统安全等级状况开展等级测评</w:t>
      </w:r>
      <w:r>
        <w:rPr>
          <w:rFonts w:hint="eastAsia" w:ascii="宋体" w:hAnsi="宋体"/>
          <w:sz w:val="24"/>
          <w:szCs w:val="24"/>
        </w:rPr>
        <w:t>”。</w:t>
      </w:r>
    </w:p>
    <w:p>
      <w:pPr>
        <w:spacing w:line="560" w:lineRule="exact"/>
        <w:ind w:firstLine="480" w:firstLineChars="200"/>
        <w:rPr>
          <w:rFonts w:ascii="宋体" w:hAnsi="宋体"/>
          <w:b/>
          <w:sz w:val="24"/>
          <w:szCs w:val="24"/>
        </w:rPr>
      </w:pPr>
      <w:r>
        <w:rPr>
          <w:rFonts w:hint="eastAsia" w:ascii="宋体" w:hAnsi="宋体"/>
          <w:b/>
          <w:sz w:val="24"/>
          <w:szCs w:val="24"/>
        </w:rPr>
        <w:t>测评内容包括技术和管理测评：</w:t>
      </w:r>
    </w:p>
    <w:p>
      <w:pPr>
        <w:spacing w:line="560" w:lineRule="exact"/>
        <w:ind w:firstLine="480" w:firstLineChars="200"/>
        <w:rPr>
          <w:rFonts w:ascii="宋体" w:hAnsi="宋体"/>
          <w:sz w:val="24"/>
          <w:szCs w:val="24"/>
        </w:rPr>
      </w:pPr>
      <w:r>
        <w:rPr>
          <w:rFonts w:hint="eastAsia" w:ascii="宋体" w:hAnsi="宋体"/>
          <w:sz w:val="24"/>
          <w:szCs w:val="24"/>
        </w:rPr>
        <w:t>1．技术安全性测评包括但不限于：安全物理环境、安全通信网络、安全区域边界、安全计算环境、安全管理中心。</w:t>
      </w:r>
    </w:p>
    <w:p>
      <w:pPr>
        <w:spacing w:line="560" w:lineRule="exact"/>
        <w:ind w:firstLine="480" w:firstLineChars="200"/>
        <w:rPr>
          <w:rFonts w:ascii="宋体" w:hAnsi="宋体"/>
          <w:sz w:val="24"/>
          <w:szCs w:val="24"/>
        </w:rPr>
      </w:pPr>
      <w:r>
        <w:rPr>
          <w:rFonts w:hint="eastAsia" w:ascii="宋体" w:hAnsi="宋体"/>
          <w:sz w:val="24"/>
          <w:szCs w:val="24"/>
        </w:rPr>
        <w:t>2．管理安全测评包括但不限于：安全管理制度、安全管理机构、安全管理人员、安全建设管理、安全运维管理。</w:t>
      </w:r>
    </w:p>
    <w:p>
      <w:pPr>
        <w:spacing w:line="360" w:lineRule="auto"/>
        <w:ind w:firstLine="480" w:firstLineChars="200"/>
        <w:rPr>
          <w:rFonts w:ascii="宋体" w:hAnsi="宋体"/>
          <w:b/>
          <w:sz w:val="24"/>
          <w:szCs w:val="24"/>
        </w:rPr>
      </w:pPr>
      <w:r>
        <w:rPr>
          <w:rFonts w:hint="eastAsia" w:ascii="宋体" w:hAnsi="宋体"/>
          <w:b/>
          <w:sz w:val="24"/>
          <w:szCs w:val="24"/>
        </w:rPr>
        <w:t>测评对象及范围</w:t>
      </w:r>
    </w:p>
    <w:p>
      <w:pPr>
        <w:spacing w:line="360" w:lineRule="auto"/>
        <w:ind w:firstLine="480" w:firstLineChars="200"/>
        <w:rPr>
          <w:rFonts w:ascii="宋体" w:hAnsi="宋体"/>
          <w:sz w:val="24"/>
          <w:szCs w:val="24"/>
        </w:rPr>
      </w:pPr>
      <w:r>
        <w:rPr>
          <w:rFonts w:hint="eastAsia" w:ascii="宋体" w:hAnsi="宋体"/>
          <w:sz w:val="24"/>
          <w:szCs w:val="24"/>
        </w:rPr>
        <w:t>本次等级保护测评系统包括：</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686"/>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sz w:val="24"/>
                <w:szCs w:val="24"/>
              </w:rPr>
            </w:pPr>
            <w:r>
              <w:rPr>
                <w:rFonts w:hint="eastAsia" w:ascii="宋体" w:hAnsi="宋体"/>
                <w:sz w:val="24"/>
                <w:szCs w:val="24"/>
              </w:rPr>
              <w:t>序号</w:t>
            </w:r>
          </w:p>
        </w:tc>
        <w:tc>
          <w:tcPr>
            <w:tcW w:w="3686" w:type="dxa"/>
            <w:vAlign w:val="center"/>
          </w:tcPr>
          <w:p>
            <w:pPr>
              <w:spacing w:line="360" w:lineRule="auto"/>
              <w:jc w:val="center"/>
              <w:rPr>
                <w:rFonts w:ascii="宋体" w:hAnsi="宋体"/>
                <w:sz w:val="24"/>
                <w:szCs w:val="24"/>
              </w:rPr>
            </w:pPr>
            <w:r>
              <w:rPr>
                <w:rFonts w:hint="eastAsia" w:ascii="宋体" w:hAnsi="宋体"/>
                <w:sz w:val="24"/>
                <w:szCs w:val="24"/>
              </w:rPr>
              <w:t>系统名称</w:t>
            </w:r>
          </w:p>
        </w:tc>
        <w:tc>
          <w:tcPr>
            <w:tcW w:w="4019" w:type="dxa"/>
            <w:vAlign w:val="center"/>
          </w:tcPr>
          <w:p>
            <w:pPr>
              <w:spacing w:line="360" w:lineRule="auto"/>
              <w:jc w:val="center"/>
              <w:rPr>
                <w:rFonts w:ascii="宋体" w:hAnsi="宋体"/>
                <w:sz w:val="24"/>
                <w:szCs w:val="24"/>
              </w:rPr>
            </w:pPr>
            <w:r>
              <w:rPr>
                <w:rFonts w:hint="eastAsia" w:ascii="宋体" w:hAnsi="宋体"/>
                <w:sz w:val="24"/>
                <w:szCs w:val="24"/>
              </w:rPr>
              <w:t>安全保护等级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5"/>
              <w:numPr>
                <w:ilvl w:val="0"/>
                <w:numId w:val="1"/>
              </w:numPr>
              <w:spacing w:line="360" w:lineRule="auto"/>
              <w:ind w:firstLineChars="0"/>
              <w:jc w:val="center"/>
              <w:rPr>
                <w:rFonts w:ascii="宋体" w:hAnsi="宋体"/>
                <w:sz w:val="24"/>
                <w:szCs w:val="24"/>
              </w:rPr>
            </w:pPr>
          </w:p>
        </w:tc>
        <w:tc>
          <w:tcPr>
            <w:tcW w:w="3686" w:type="dxa"/>
            <w:vAlign w:val="center"/>
          </w:tcPr>
          <w:p>
            <w:pPr>
              <w:spacing w:line="360" w:lineRule="auto"/>
              <w:jc w:val="center"/>
              <w:rPr>
                <w:rFonts w:ascii="宋体" w:hAnsi="宋体"/>
                <w:sz w:val="24"/>
                <w:szCs w:val="24"/>
              </w:rPr>
            </w:pPr>
            <w:r>
              <w:rPr>
                <w:rFonts w:ascii="宋体" w:hAnsi="宋体"/>
                <w:color w:val="FF0000"/>
                <w:sz w:val="24"/>
                <w:szCs w:val="24"/>
              </w:rPr>
              <w:t>HIS</w:t>
            </w:r>
            <w:r>
              <w:rPr>
                <w:rFonts w:hint="eastAsia" w:ascii="宋体" w:hAnsi="宋体"/>
                <w:color w:val="FF0000"/>
                <w:sz w:val="24"/>
                <w:szCs w:val="24"/>
              </w:rPr>
              <w:t>系统</w:t>
            </w:r>
          </w:p>
        </w:tc>
        <w:tc>
          <w:tcPr>
            <w:tcW w:w="4019" w:type="dxa"/>
            <w:vAlign w:val="center"/>
          </w:tcPr>
          <w:p>
            <w:pPr>
              <w:spacing w:line="360" w:lineRule="auto"/>
              <w:jc w:val="center"/>
              <w:rPr>
                <w:rFonts w:ascii="宋体" w:hAnsi="宋体"/>
                <w:sz w:val="24"/>
                <w:szCs w:val="24"/>
              </w:rPr>
            </w:pPr>
            <w:r>
              <w:rPr>
                <w:rFonts w:hint="eastAsia" w:ascii="宋体" w:hAnsi="宋体"/>
                <w:color w:val="FF0000"/>
                <w:sz w:val="24"/>
                <w:szCs w:val="24"/>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5"/>
              <w:numPr>
                <w:ilvl w:val="0"/>
                <w:numId w:val="1"/>
              </w:numPr>
              <w:spacing w:line="360" w:lineRule="auto"/>
              <w:ind w:firstLineChars="0"/>
              <w:jc w:val="center"/>
              <w:rPr>
                <w:rFonts w:ascii="宋体" w:hAnsi="宋体"/>
                <w:sz w:val="24"/>
                <w:szCs w:val="24"/>
              </w:rPr>
            </w:pPr>
          </w:p>
        </w:tc>
        <w:tc>
          <w:tcPr>
            <w:tcW w:w="3686"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L</w:t>
            </w:r>
            <w:r>
              <w:rPr>
                <w:rFonts w:ascii="宋体" w:hAnsi="宋体"/>
                <w:color w:val="FF0000"/>
                <w:sz w:val="24"/>
                <w:szCs w:val="24"/>
              </w:rPr>
              <w:t>IS</w:t>
            </w:r>
            <w:r>
              <w:rPr>
                <w:rFonts w:hint="eastAsia" w:ascii="宋体" w:hAnsi="宋体"/>
                <w:color w:val="FF0000"/>
                <w:sz w:val="24"/>
                <w:szCs w:val="24"/>
              </w:rPr>
              <w:t>系统</w:t>
            </w:r>
          </w:p>
        </w:tc>
        <w:tc>
          <w:tcPr>
            <w:tcW w:w="4019"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5"/>
              <w:numPr>
                <w:ilvl w:val="0"/>
                <w:numId w:val="1"/>
              </w:numPr>
              <w:spacing w:line="360" w:lineRule="auto"/>
              <w:ind w:firstLineChars="0"/>
              <w:jc w:val="center"/>
              <w:rPr>
                <w:rFonts w:ascii="宋体" w:hAnsi="宋体"/>
                <w:sz w:val="24"/>
                <w:szCs w:val="24"/>
              </w:rPr>
            </w:pPr>
          </w:p>
        </w:tc>
        <w:tc>
          <w:tcPr>
            <w:tcW w:w="3686"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电子病历系统</w:t>
            </w:r>
          </w:p>
        </w:tc>
        <w:tc>
          <w:tcPr>
            <w:tcW w:w="4019"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第三级</w:t>
            </w:r>
          </w:p>
        </w:tc>
      </w:tr>
    </w:tbl>
    <w:p>
      <w:pPr>
        <w:spacing w:line="360" w:lineRule="auto"/>
        <w:ind w:firstLine="480" w:firstLineChars="200"/>
        <w:rPr>
          <w:rFonts w:ascii="宋体" w:hAnsi="宋体"/>
          <w:b/>
          <w:sz w:val="24"/>
          <w:szCs w:val="24"/>
        </w:rPr>
      </w:pPr>
      <w:r>
        <w:rPr>
          <w:rFonts w:hint="eastAsia" w:ascii="宋体" w:hAnsi="宋体"/>
          <w:b/>
          <w:sz w:val="24"/>
          <w:szCs w:val="24"/>
        </w:rPr>
        <w:t>依据标准</w:t>
      </w:r>
    </w:p>
    <w:p>
      <w:pPr>
        <w:spacing w:line="360" w:lineRule="auto"/>
        <w:ind w:firstLine="480" w:firstLineChars="200"/>
        <w:rPr>
          <w:rFonts w:ascii="宋体" w:hAnsi="宋体"/>
          <w:sz w:val="24"/>
          <w:szCs w:val="24"/>
        </w:rPr>
      </w:pPr>
      <w:r>
        <w:rPr>
          <w:rFonts w:hint="eastAsia" w:asciiTheme="minorEastAsia" w:hAnsiTheme="minorEastAsia"/>
          <w:sz w:val="24"/>
          <w:szCs w:val="24"/>
        </w:rPr>
        <w:t>①</w:t>
      </w:r>
      <w:r>
        <w:rPr>
          <w:rFonts w:hint="eastAsia" w:ascii="宋体" w:hAnsi="宋体"/>
          <w:sz w:val="24"/>
          <w:szCs w:val="24"/>
        </w:rPr>
        <w:t>《中华人民共和国网络安全法》</w:t>
      </w:r>
    </w:p>
    <w:p>
      <w:pPr>
        <w:spacing w:line="360" w:lineRule="auto"/>
        <w:ind w:firstLine="480" w:firstLineChars="200"/>
        <w:rPr>
          <w:rFonts w:ascii="宋体" w:hAnsi="宋体"/>
          <w:sz w:val="24"/>
          <w:szCs w:val="24"/>
        </w:rPr>
      </w:pPr>
      <w:r>
        <w:rPr>
          <w:rFonts w:hint="eastAsia" w:ascii="宋体" w:hAnsi="宋体" w:eastAsia="宋体"/>
          <w:sz w:val="24"/>
          <w:szCs w:val="24"/>
        </w:rPr>
        <w:t>②</w:t>
      </w:r>
      <w:r>
        <w:rPr>
          <w:rFonts w:hint="eastAsia" w:ascii="宋体" w:hAnsi="宋体"/>
          <w:sz w:val="24"/>
          <w:szCs w:val="24"/>
        </w:rPr>
        <w:t>GB/T 22239-2019《信息安全技术 网络安全等级保护基本要求》</w:t>
      </w:r>
    </w:p>
    <w:p>
      <w:pPr>
        <w:spacing w:line="360" w:lineRule="auto"/>
        <w:ind w:firstLine="480" w:firstLineChars="200"/>
        <w:rPr>
          <w:rFonts w:ascii="宋体" w:hAnsi="宋体"/>
          <w:sz w:val="24"/>
          <w:szCs w:val="24"/>
        </w:rPr>
      </w:pPr>
      <w:r>
        <w:rPr>
          <w:rFonts w:hint="eastAsia" w:ascii="宋体" w:hAnsi="宋体" w:eastAsia="宋体"/>
          <w:sz w:val="24"/>
          <w:szCs w:val="24"/>
        </w:rPr>
        <w:t>③</w:t>
      </w:r>
      <w:r>
        <w:rPr>
          <w:rFonts w:hint="eastAsia" w:ascii="宋体" w:hAnsi="宋体"/>
          <w:sz w:val="24"/>
          <w:szCs w:val="24"/>
        </w:rPr>
        <w:t>GB/T28448-2019《信息安全技术 网络安全等级保护测评要求》</w:t>
      </w:r>
    </w:p>
    <w:p>
      <w:pPr>
        <w:spacing w:line="360" w:lineRule="auto"/>
        <w:ind w:firstLine="480" w:firstLineChars="200"/>
        <w:rPr>
          <w:rFonts w:ascii="宋体" w:hAnsi="宋体"/>
          <w:sz w:val="24"/>
          <w:szCs w:val="24"/>
        </w:rPr>
      </w:pPr>
      <w:r>
        <w:rPr>
          <w:rFonts w:hint="eastAsia" w:ascii="宋体" w:hAnsi="宋体" w:eastAsia="宋体"/>
          <w:sz w:val="24"/>
          <w:szCs w:val="24"/>
        </w:rPr>
        <w:t>④</w:t>
      </w:r>
      <w:r>
        <w:rPr>
          <w:rFonts w:hint="eastAsia" w:ascii="宋体" w:hAnsi="宋体"/>
          <w:sz w:val="24"/>
          <w:szCs w:val="24"/>
        </w:rPr>
        <w:t>GB/T28449-2018《信息安全技术 网络安全等级保护测评过程指南》</w:t>
      </w:r>
    </w:p>
    <w:p>
      <w:pPr>
        <w:spacing w:line="360" w:lineRule="auto"/>
        <w:ind w:firstLine="480" w:firstLineChars="200"/>
        <w:rPr>
          <w:rFonts w:ascii="宋体" w:hAnsi="宋体"/>
          <w:sz w:val="24"/>
          <w:szCs w:val="24"/>
        </w:rPr>
      </w:pPr>
      <w:r>
        <w:rPr>
          <w:rFonts w:hint="eastAsia" w:ascii="宋体" w:hAnsi="宋体" w:eastAsia="宋体"/>
          <w:sz w:val="24"/>
          <w:szCs w:val="24"/>
        </w:rPr>
        <w:t>⑤</w:t>
      </w:r>
      <w:r>
        <w:rPr>
          <w:rFonts w:hint="eastAsia" w:ascii="宋体" w:hAnsi="宋体"/>
          <w:sz w:val="24"/>
          <w:szCs w:val="24"/>
        </w:rPr>
        <w:t>GB/T36627-2018《信息安全技术 网络安全等级保护测试评估技术指南》</w:t>
      </w:r>
    </w:p>
    <w:p>
      <w:pPr>
        <w:spacing w:line="360" w:lineRule="auto"/>
        <w:ind w:firstLine="480" w:firstLineChars="200"/>
        <w:rPr>
          <w:rFonts w:ascii="宋体" w:hAnsi="宋体"/>
          <w:sz w:val="24"/>
          <w:szCs w:val="24"/>
        </w:rPr>
      </w:pPr>
      <w:r>
        <w:rPr>
          <w:rFonts w:hint="eastAsia" w:ascii="宋体" w:hAnsi="宋体" w:eastAsia="宋体"/>
          <w:sz w:val="24"/>
          <w:szCs w:val="24"/>
        </w:rPr>
        <w:t>⑥</w:t>
      </w:r>
      <w:r>
        <w:rPr>
          <w:rFonts w:hint="eastAsia" w:ascii="宋体" w:hAnsi="宋体"/>
          <w:sz w:val="24"/>
          <w:szCs w:val="24"/>
        </w:rPr>
        <w:t>《信息安全等级保护管理办法》公通字 [2007] 43号</w:t>
      </w:r>
    </w:p>
    <w:p>
      <w:pPr>
        <w:spacing w:line="360" w:lineRule="auto"/>
        <w:ind w:firstLine="480" w:firstLineChars="200"/>
        <w:rPr>
          <w:rFonts w:ascii="宋体" w:hAnsi="宋体"/>
          <w:sz w:val="24"/>
          <w:szCs w:val="24"/>
        </w:rPr>
      </w:pPr>
      <w:r>
        <w:rPr>
          <w:rFonts w:hint="eastAsia" w:ascii="宋体" w:hAnsi="宋体" w:eastAsia="宋体"/>
          <w:sz w:val="24"/>
          <w:szCs w:val="24"/>
        </w:rPr>
        <w:t>⑦</w:t>
      </w:r>
      <w:r>
        <w:rPr>
          <w:rFonts w:hint="eastAsia" w:ascii="宋体" w:hAnsi="宋体"/>
          <w:sz w:val="24"/>
          <w:szCs w:val="24"/>
        </w:rPr>
        <w:t>《网络安全等级保护测评机构管理办法》公信安 [2018] 765号</w:t>
      </w:r>
    </w:p>
    <w:p>
      <w:pPr>
        <w:spacing w:line="360" w:lineRule="auto"/>
        <w:ind w:firstLine="480" w:firstLineChars="200"/>
        <w:rPr>
          <w:rFonts w:ascii="宋体" w:hAnsi="宋体"/>
          <w:b/>
          <w:sz w:val="24"/>
          <w:szCs w:val="24"/>
        </w:rPr>
      </w:pPr>
      <w:r>
        <w:rPr>
          <w:rFonts w:hint="eastAsia" w:ascii="宋体" w:hAnsi="宋体"/>
          <w:b/>
          <w:sz w:val="24"/>
          <w:szCs w:val="24"/>
        </w:rPr>
        <w:t>测评原则</w:t>
      </w:r>
    </w:p>
    <w:p>
      <w:pPr>
        <w:spacing w:line="360" w:lineRule="auto"/>
        <w:ind w:firstLine="480" w:firstLineChars="200"/>
        <w:rPr>
          <w:rFonts w:ascii="宋体" w:hAnsi="宋体"/>
          <w:sz w:val="24"/>
          <w:szCs w:val="24"/>
        </w:rPr>
      </w:pPr>
      <w:r>
        <w:rPr>
          <w:rFonts w:hint="eastAsia" w:ascii="宋体" w:hAnsi="宋体"/>
          <w:sz w:val="24"/>
          <w:szCs w:val="24"/>
        </w:rPr>
        <w:t>客观性和公正性原则：</w:t>
      </w:r>
    </w:p>
    <w:p>
      <w:pPr>
        <w:spacing w:line="360" w:lineRule="auto"/>
        <w:ind w:firstLine="480" w:firstLineChars="200"/>
        <w:rPr>
          <w:rFonts w:ascii="宋体" w:hAnsi="宋体"/>
          <w:sz w:val="24"/>
          <w:szCs w:val="24"/>
        </w:rPr>
      </w:pPr>
      <w:r>
        <w:rPr>
          <w:rFonts w:hint="eastAsia" w:ascii="宋体" w:hAnsi="宋体"/>
          <w:sz w:val="24"/>
          <w:szCs w:val="24"/>
        </w:rPr>
        <w:t>虽然测评工作不能完全摆脱个人主张或判断，但测评人员应当没有偏见，在最小主观判断情形下，按照测评双方相互认可的测评方案，基于明确定义的测评方式和解释，实施测评活动。</w:t>
      </w:r>
    </w:p>
    <w:p>
      <w:pPr>
        <w:spacing w:line="360" w:lineRule="auto"/>
        <w:ind w:firstLine="480" w:firstLineChars="200"/>
        <w:rPr>
          <w:rFonts w:ascii="宋体" w:hAnsi="宋体"/>
          <w:sz w:val="24"/>
          <w:szCs w:val="24"/>
        </w:rPr>
      </w:pPr>
      <w:r>
        <w:rPr>
          <w:rFonts w:hint="eastAsia" w:ascii="宋体" w:hAnsi="宋体"/>
          <w:sz w:val="24"/>
          <w:szCs w:val="24"/>
        </w:rPr>
        <w:t>经济性和可重用性原则：</w:t>
      </w:r>
    </w:p>
    <w:p>
      <w:pPr>
        <w:spacing w:line="360" w:lineRule="auto"/>
        <w:ind w:firstLine="480" w:firstLineChars="200"/>
        <w:rPr>
          <w:rFonts w:ascii="宋体" w:hAnsi="宋体"/>
          <w:sz w:val="24"/>
          <w:szCs w:val="24"/>
        </w:rPr>
      </w:pPr>
      <w:r>
        <w:rPr>
          <w:rFonts w:hint="eastAsia" w:ascii="宋体" w:hAnsi="宋体"/>
          <w:sz w:val="24"/>
          <w:szCs w:val="24"/>
        </w:rPr>
        <w:t>基于测评成本和工作复杂性考虑，鼓励测评工作重用以前的测评结果，包括商业安全产品测评结果和信息系统先前的安全测评结果。所有重用的结果，都应基于结果适用于目前的系统，并且能够反映出目前系统的安全状态基础之上。</w:t>
      </w:r>
    </w:p>
    <w:p>
      <w:pPr>
        <w:spacing w:line="360" w:lineRule="auto"/>
        <w:ind w:firstLine="480" w:firstLineChars="200"/>
        <w:rPr>
          <w:rFonts w:ascii="宋体" w:hAnsi="宋体"/>
          <w:sz w:val="24"/>
          <w:szCs w:val="24"/>
        </w:rPr>
      </w:pPr>
      <w:r>
        <w:rPr>
          <w:rFonts w:hint="eastAsia" w:ascii="宋体" w:hAnsi="宋体"/>
          <w:sz w:val="24"/>
          <w:szCs w:val="24"/>
        </w:rPr>
        <w:t>可重复性和可再现性原则：</w:t>
      </w:r>
    </w:p>
    <w:p>
      <w:pPr>
        <w:spacing w:line="360" w:lineRule="auto"/>
        <w:ind w:firstLine="480" w:firstLineChars="200"/>
        <w:rPr>
          <w:rFonts w:ascii="宋体" w:hAnsi="宋体"/>
          <w:sz w:val="24"/>
          <w:szCs w:val="24"/>
        </w:rPr>
      </w:pPr>
      <w:r>
        <w:rPr>
          <w:rFonts w:hint="eastAsia" w:ascii="宋体" w:hAnsi="宋体"/>
          <w:sz w:val="24"/>
          <w:szCs w:val="24"/>
        </w:rPr>
        <w:t>不论谁执行测评，依照同样的要求，使用同样的测评方式，对每个测评实施过程的重复执行应该得到同样的结果。可再现性和可重复性的区别在于，前者与不同测评者测评结果的一致性有关，后者与同一测评者测评结果的一致性有关。</w:t>
      </w:r>
    </w:p>
    <w:p>
      <w:pPr>
        <w:spacing w:line="360" w:lineRule="auto"/>
        <w:ind w:firstLine="480" w:firstLineChars="200"/>
        <w:rPr>
          <w:rFonts w:ascii="宋体" w:hAnsi="宋体"/>
          <w:sz w:val="24"/>
          <w:szCs w:val="24"/>
        </w:rPr>
      </w:pPr>
      <w:r>
        <w:rPr>
          <w:rFonts w:hint="eastAsia" w:ascii="宋体" w:hAnsi="宋体"/>
          <w:sz w:val="24"/>
          <w:szCs w:val="24"/>
        </w:rPr>
        <w:t>结果完善性原则：</w:t>
      </w:r>
    </w:p>
    <w:p>
      <w:pPr>
        <w:spacing w:line="360" w:lineRule="auto"/>
        <w:ind w:firstLine="480" w:firstLineChars="200"/>
        <w:rPr>
          <w:rFonts w:ascii="宋体" w:hAnsi="宋体"/>
          <w:sz w:val="24"/>
          <w:szCs w:val="24"/>
        </w:rPr>
      </w:pPr>
      <w:r>
        <w:rPr>
          <w:rFonts w:hint="eastAsia" w:ascii="宋体" w:hAnsi="宋体"/>
          <w:sz w:val="24"/>
          <w:szCs w:val="24"/>
        </w:rPr>
        <w:t>测评所产生的结果应当证明是良好的判断和对测评项的正确理解。测评过程和结果应当服从正确的测评方法以确保其满足了测评项的要求。</w:t>
      </w:r>
    </w:p>
    <w:p>
      <w:pPr>
        <w:spacing w:line="360" w:lineRule="auto"/>
        <w:ind w:firstLine="480" w:firstLineChars="200"/>
        <w:rPr>
          <w:rFonts w:ascii="宋体" w:hAnsi="宋体"/>
          <w:sz w:val="24"/>
          <w:szCs w:val="24"/>
        </w:rPr>
      </w:pPr>
      <w:r>
        <w:rPr>
          <w:rFonts w:hint="eastAsia" w:ascii="宋体" w:hAnsi="宋体"/>
          <w:sz w:val="24"/>
          <w:szCs w:val="24"/>
        </w:rPr>
        <w:t>项目具体要求</w:t>
      </w:r>
    </w:p>
    <w:p>
      <w:pPr>
        <w:spacing w:line="360" w:lineRule="auto"/>
        <w:ind w:firstLine="480" w:firstLineChars="200"/>
        <w:rPr>
          <w:rFonts w:ascii="宋体" w:hAnsi="宋体"/>
          <w:sz w:val="24"/>
          <w:szCs w:val="24"/>
        </w:rPr>
      </w:pPr>
      <w:r>
        <w:rPr>
          <w:rFonts w:hint="eastAsia" w:ascii="宋体" w:hAnsi="宋体"/>
          <w:sz w:val="24"/>
          <w:szCs w:val="24"/>
        </w:rPr>
        <w:t>对信息系统安全等级保护状况进行测试评估，应包括两个方面的内容：一是安全控制测评，主要测评信息安全等级保护要求的基本安全控制在信息系统中的实施配置情况；二是系统整体测评，主要测评分析信息系统的整体安全性。其中，安全控制测评是信息系统整体安全测评的基础。</w:t>
      </w:r>
    </w:p>
    <w:p>
      <w:pPr>
        <w:spacing w:line="360" w:lineRule="auto"/>
        <w:ind w:firstLine="480" w:firstLineChars="200"/>
        <w:rPr>
          <w:rFonts w:ascii="宋体" w:hAnsi="宋体"/>
          <w:sz w:val="24"/>
          <w:szCs w:val="24"/>
        </w:rPr>
      </w:pPr>
      <w:r>
        <w:rPr>
          <w:rFonts w:hint="eastAsia" w:ascii="宋体" w:hAnsi="宋体"/>
          <w:sz w:val="24"/>
          <w:szCs w:val="24"/>
        </w:rPr>
        <w:t>对安全控制测评的描述，使用工作单元方式组织。工作单元分为安全技术和安全管理两大类。安全技术测评包括：安全物理环境、安全通信网络、安全区域边界、安全计算环境、安全管理中心五个方面；安全管理测评包括：安全管理制度、安全管理机构、安全管理人员、安全建设管理、安全运维管理五个方面。</w:t>
      </w:r>
    </w:p>
    <w:p>
      <w:pPr>
        <w:spacing w:line="360" w:lineRule="auto"/>
        <w:ind w:firstLine="480" w:firstLineChars="200"/>
        <w:rPr>
          <w:rFonts w:ascii="宋体" w:hAnsi="宋体"/>
          <w:sz w:val="24"/>
          <w:szCs w:val="24"/>
        </w:rPr>
      </w:pPr>
      <w:r>
        <w:rPr>
          <w:rFonts w:hint="eastAsia" w:ascii="宋体" w:hAnsi="宋体"/>
          <w:sz w:val="24"/>
          <w:szCs w:val="24"/>
        </w:rPr>
        <w:t>系统整体测评涉及到信息系统的整体拓扑、局部结构，也关系到信息系统的具体安全功能实现和安全控制配置，与特定信息系统的实际情况紧密相关，内容复杂且充满系统个性。因此，全面地给出系统整体测评要求的完整内容、具体实施方法和明确的结果判定方法是很困难的。测评人员应根据特定信息系统的具体情况，结合本标准要求，确定系统整体测评的具体内容，在安全控制测评的基础上，重点考虑安全控制间、层面间以及区域间的相互关联关系，测评安全控制间、层面间和区域间是否存在安全功能上的增强、补充和削弱作用以及信息系统整体结构安全性、不同信息系统之间整体安全性等。</w:t>
      </w:r>
    </w:p>
    <w:p>
      <w:pPr>
        <w:spacing w:line="360" w:lineRule="auto"/>
        <w:ind w:firstLine="480" w:firstLineChars="200"/>
        <w:rPr>
          <w:rFonts w:ascii="宋体" w:hAnsi="宋体"/>
          <w:sz w:val="24"/>
          <w:szCs w:val="24"/>
        </w:rPr>
      </w:pPr>
      <w:r>
        <w:rPr>
          <w:rFonts w:hint="eastAsia" w:ascii="宋体" w:hAnsi="宋体"/>
          <w:sz w:val="24"/>
          <w:szCs w:val="24"/>
        </w:rPr>
        <w:t>投标方根据国家对信息安全等级保护工作的相关法律和技术标准要求，结合本项目的系统保护等级开展实施与之相应的检查、访谈、测试工作。</w:t>
      </w:r>
    </w:p>
    <w:p>
      <w:pPr>
        <w:spacing w:line="360" w:lineRule="auto"/>
        <w:rPr>
          <w:rFonts w:ascii="宋体" w:hAnsi="宋体"/>
          <w:b/>
          <w:sz w:val="24"/>
          <w:szCs w:val="24"/>
        </w:rPr>
      </w:pPr>
      <w:r>
        <w:rPr>
          <w:rFonts w:hint="eastAsia" w:ascii="宋体" w:hAnsi="宋体"/>
          <w:b/>
          <w:sz w:val="24"/>
          <w:szCs w:val="24"/>
        </w:rPr>
        <w:t>三：测评要求</w:t>
      </w:r>
    </w:p>
    <w:p>
      <w:pPr>
        <w:spacing w:line="360" w:lineRule="auto"/>
        <w:ind w:firstLine="480" w:firstLineChars="200"/>
        <w:rPr>
          <w:rFonts w:ascii="宋体" w:hAnsi="宋体"/>
          <w:sz w:val="24"/>
          <w:szCs w:val="24"/>
        </w:rPr>
      </w:pPr>
      <w:r>
        <w:rPr>
          <w:rFonts w:hint="eastAsia" w:ascii="宋体" w:hAnsi="宋体"/>
          <w:sz w:val="24"/>
          <w:szCs w:val="24"/>
        </w:rPr>
        <w:t>（1）安全物理环境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05"/>
        <w:gridCol w:w="1701"/>
        <w:gridCol w:w="5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16" w:hRule="atLeast"/>
          <w:tblHeader/>
          <w:jc w:val="center"/>
        </w:trPr>
        <w:tc>
          <w:tcPr>
            <w:tcW w:w="1005"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序号</w:t>
            </w:r>
          </w:p>
        </w:tc>
        <w:tc>
          <w:tcPr>
            <w:tcW w:w="1701"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工作单元名称</w:t>
            </w:r>
          </w:p>
        </w:tc>
        <w:tc>
          <w:tcPr>
            <w:tcW w:w="5624"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物理位置选择</w:t>
            </w:r>
          </w:p>
        </w:tc>
        <w:tc>
          <w:tcPr>
            <w:tcW w:w="5624"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通过访谈、检查机房等信息系统物理场所在位置上是否具有防雷、防风和防雨等多方面的安全防范能力。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2</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物理访问控制</w:t>
            </w:r>
          </w:p>
        </w:tc>
        <w:tc>
          <w:tcPr>
            <w:tcW w:w="5624"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通过访谈、检查主机房出入口、机房分区域情况等过程，测评信息系统在物理访问控制方面的安全防范能力。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3</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防盗窃和防破坏</w:t>
            </w:r>
          </w:p>
        </w:tc>
        <w:tc>
          <w:tcPr>
            <w:tcW w:w="5624"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通过访谈、检查机房的主要设备、介质和防盗报警系统等过程，测评信息系统是否采取必要的措施预防设备、介质等丢失和被破坏。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4</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防雷击</w:t>
            </w:r>
          </w:p>
        </w:tc>
        <w:tc>
          <w:tcPr>
            <w:tcW w:w="5624"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通过访谈、检查机房的设计/验收文档，测评信息系统是否采取相应的措施预防雷击。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5</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防火</w:t>
            </w:r>
          </w:p>
        </w:tc>
        <w:tc>
          <w:tcPr>
            <w:tcW w:w="5624"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通过访谈、检查机房的设计/验收文档，检查机房防火设备等过程，测评信息系统是否采取必要的措施防止火灾的发生。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6</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防水和防潮</w:t>
            </w:r>
          </w:p>
        </w:tc>
        <w:tc>
          <w:tcPr>
            <w:tcW w:w="5624"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通过访谈、检查机房的除潮设备等过程，测评信息系统是否采取必要措施来防止水灾和机房潮湿。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7</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防静电</w:t>
            </w:r>
          </w:p>
        </w:tc>
        <w:tc>
          <w:tcPr>
            <w:tcW w:w="5624"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通过访谈、检查机房是否采取必要措施防止静电的产生。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8</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温湿度控制</w:t>
            </w:r>
          </w:p>
        </w:tc>
        <w:tc>
          <w:tcPr>
            <w:tcW w:w="5624"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通过访谈、检查机房温、湿度情况，是否采取必要措施对机房内的温湿度进行控制。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9</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电力供应</w:t>
            </w:r>
          </w:p>
        </w:tc>
        <w:tc>
          <w:tcPr>
            <w:tcW w:w="5624"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通过访谈、检查机房供电线路、设备等过程，是否具备提供一定的电力供应的能力。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10</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电磁防护</w:t>
            </w:r>
          </w:p>
        </w:tc>
        <w:tc>
          <w:tcPr>
            <w:tcW w:w="5624"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通过访谈、检查是否具备一定的电磁防护能力。</w:t>
            </w:r>
          </w:p>
        </w:tc>
      </w:tr>
    </w:tbl>
    <w:p>
      <w:pPr>
        <w:spacing w:line="360" w:lineRule="auto"/>
        <w:ind w:firstLine="480" w:firstLineChars="200"/>
        <w:rPr>
          <w:rFonts w:ascii="宋体" w:hAnsi="宋体"/>
          <w:sz w:val="24"/>
          <w:szCs w:val="24"/>
        </w:rPr>
      </w:pPr>
      <w:r>
        <w:rPr>
          <w:rFonts w:hint="eastAsia" w:ascii="宋体" w:hAnsi="宋体"/>
          <w:sz w:val="24"/>
          <w:szCs w:val="24"/>
        </w:rPr>
        <w:t>（2）安全通信网络</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05"/>
        <w:gridCol w:w="1559"/>
        <w:gridCol w:w="5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5" w:hRule="atLeast"/>
          <w:tblHeader/>
          <w:jc w:val="center"/>
        </w:trPr>
        <w:tc>
          <w:tcPr>
            <w:tcW w:w="1005"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序号</w:t>
            </w:r>
          </w:p>
        </w:tc>
        <w:tc>
          <w:tcPr>
            <w:tcW w:w="1559"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工作单元名称</w:t>
            </w:r>
          </w:p>
        </w:tc>
        <w:tc>
          <w:tcPr>
            <w:tcW w:w="5766"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1559" w:type="dxa"/>
            <w:shd w:val="clear" w:color="auto" w:fill="auto"/>
            <w:vAlign w:val="center"/>
          </w:tcPr>
          <w:p>
            <w:pPr>
              <w:spacing w:line="360" w:lineRule="auto"/>
              <w:jc w:val="center"/>
              <w:rPr>
                <w:rFonts w:ascii="宋体" w:hAnsi="宋体"/>
                <w:sz w:val="24"/>
                <w:szCs w:val="24"/>
              </w:rPr>
            </w:pPr>
            <w:r>
              <w:rPr>
                <w:rFonts w:ascii="宋体" w:hAnsi="宋体"/>
                <w:sz w:val="24"/>
                <w:szCs w:val="24"/>
              </w:rPr>
              <w:t>网络架构</w:t>
            </w:r>
          </w:p>
        </w:tc>
        <w:tc>
          <w:tcPr>
            <w:tcW w:w="5766"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测试网络拓扑情况、抽查核心交换机、接入交换机和接入路由器等网络互联设备，测试系统访问路径和网络宽带分配情况等过程，测评分析网络架构与网段划分、隔离等情况的合理性和有效性，以及通信线路、关键设备硬件冗余，系统可用性保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2</w:t>
            </w:r>
          </w:p>
        </w:tc>
        <w:tc>
          <w:tcPr>
            <w:tcW w:w="1559" w:type="dxa"/>
            <w:shd w:val="clear" w:color="auto" w:fill="auto"/>
            <w:vAlign w:val="center"/>
          </w:tcPr>
          <w:p>
            <w:pPr>
              <w:spacing w:line="360" w:lineRule="auto"/>
              <w:jc w:val="center"/>
              <w:rPr>
                <w:rFonts w:ascii="宋体" w:hAnsi="宋体"/>
                <w:sz w:val="24"/>
                <w:szCs w:val="24"/>
              </w:rPr>
            </w:pPr>
            <w:r>
              <w:rPr>
                <w:rFonts w:ascii="宋体" w:hAnsi="宋体"/>
                <w:sz w:val="24"/>
                <w:szCs w:val="24"/>
              </w:rPr>
              <w:t>通信传输</w:t>
            </w:r>
          </w:p>
        </w:tc>
        <w:tc>
          <w:tcPr>
            <w:tcW w:w="5766"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通过访谈、检查、测试通信传输过程的数据完整性和保密性保护情况。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3</w:t>
            </w:r>
          </w:p>
        </w:tc>
        <w:tc>
          <w:tcPr>
            <w:tcW w:w="1559" w:type="dxa"/>
            <w:shd w:val="clear" w:color="auto" w:fill="auto"/>
            <w:vAlign w:val="center"/>
          </w:tcPr>
          <w:p>
            <w:pPr>
              <w:spacing w:line="360" w:lineRule="auto"/>
              <w:jc w:val="center"/>
              <w:rPr>
                <w:rFonts w:ascii="宋体" w:hAnsi="宋体"/>
                <w:sz w:val="24"/>
                <w:szCs w:val="24"/>
              </w:rPr>
            </w:pPr>
            <w:r>
              <w:rPr>
                <w:rFonts w:ascii="宋体" w:hAnsi="宋体"/>
                <w:sz w:val="24"/>
                <w:szCs w:val="24"/>
              </w:rPr>
              <w:t>可信验证</w:t>
            </w:r>
          </w:p>
        </w:tc>
        <w:tc>
          <w:tcPr>
            <w:tcW w:w="5766"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通过访谈、检查通信设备的系统引导、系统程序、重要配置参数和通信应用程序等进行可信验证及应用程序的关键执行环节进行动态可信验证的保护情况。</w:t>
            </w:r>
          </w:p>
        </w:tc>
      </w:tr>
    </w:tbl>
    <w:p>
      <w:pPr>
        <w:spacing w:line="360" w:lineRule="auto"/>
        <w:ind w:firstLine="480" w:firstLineChars="200"/>
        <w:rPr>
          <w:rFonts w:ascii="宋体" w:hAnsi="宋体"/>
          <w:sz w:val="24"/>
          <w:szCs w:val="24"/>
        </w:rPr>
      </w:pPr>
      <w:r>
        <w:rPr>
          <w:rFonts w:hint="eastAsia" w:ascii="宋体" w:hAnsi="宋体"/>
          <w:sz w:val="24"/>
          <w:szCs w:val="24"/>
        </w:rPr>
        <w:t>（3）安全区域边界</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05"/>
        <w:gridCol w:w="1559"/>
        <w:gridCol w:w="5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5" w:hRule="atLeast"/>
          <w:tblHeader/>
          <w:jc w:val="center"/>
        </w:trPr>
        <w:tc>
          <w:tcPr>
            <w:tcW w:w="1005"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序号</w:t>
            </w:r>
          </w:p>
        </w:tc>
        <w:tc>
          <w:tcPr>
            <w:tcW w:w="1559"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工作单元名称</w:t>
            </w:r>
          </w:p>
        </w:tc>
        <w:tc>
          <w:tcPr>
            <w:tcW w:w="5766"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1559" w:type="dxa"/>
            <w:shd w:val="clear" w:color="auto" w:fill="auto"/>
            <w:vAlign w:val="center"/>
          </w:tcPr>
          <w:p>
            <w:pPr>
              <w:spacing w:line="360" w:lineRule="auto"/>
              <w:jc w:val="center"/>
              <w:rPr>
                <w:rFonts w:ascii="宋体" w:hAnsi="宋体"/>
                <w:sz w:val="24"/>
                <w:szCs w:val="24"/>
              </w:rPr>
            </w:pPr>
            <w:r>
              <w:rPr>
                <w:rFonts w:ascii="宋体" w:hAnsi="宋体"/>
                <w:sz w:val="24"/>
                <w:szCs w:val="24"/>
              </w:rPr>
              <w:t>边界防护</w:t>
            </w:r>
          </w:p>
        </w:tc>
        <w:tc>
          <w:tcPr>
            <w:tcW w:w="5766"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通过访谈、检查、测试边界完整性检查设备，测评分析跨域边界的访问控制和数据流通过边界设备的控制措施，非法内联、外联、无线准入控制的监测、阻断等能力。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2</w:t>
            </w:r>
          </w:p>
        </w:tc>
        <w:tc>
          <w:tcPr>
            <w:tcW w:w="155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访问控制</w:t>
            </w:r>
          </w:p>
        </w:tc>
        <w:tc>
          <w:tcPr>
            <w:tcW w:w="5766"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通过访谈、检查、测试网络访问控制设备策略部署，测试系统对外暴露安全漏洞情况等过程，测评分析对进出网络的数据流量控制以及基于应用协议和应用内容的访问控制能力。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3</w:t>
            </w:r>
          </w:p>
        </w:tc>
        <w:tc>
          <w:tcPr>
            <w:tcW w:w="155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入侵防范</w:t>
            </w:r>
          </w:p>
        </w:tc>
        <w:tc>
          <w:tcPr>
            <w:tcW w:w="5766"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测试网络边界处、关键网络节点检测、防止或限制从内部和外部发起网络攻击行为的防护能力，以及网络行为分析、监测、报警能力，特别是新型网络攻击行为的分析，对攻击行为的检测是否涉及攻击源、攻击类型、攻击目标、攻击事件、入侵报警等方面的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4</w:t>
            </w:r>
          </w:p>
        </w:tc>
        <w:tc>
          <w:tcPr>
            <w:tcW w:w="155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恶意代码和防垃圾邮件</w:t>
            </w:r>
          </w:p>
        </w:tc>
        <w:tc>
          <w:tcPr>
            <w:tcW w:w="5766"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通过访谈、检查、测试关键网络节点处对恶意代码、垃圾邮件进行检测、防护和清除、恶意代码防护机制的升级和更新维护等情况，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5</w:t>
            </w:r>
          </w:p>
        </w:tc>
        <w:tc>
          <w:tcPr>
            <w:tcW w:w="155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安全审计</w:t>
            </w:r>
          </w:p>
        </w:tc>
        <w:tc>
          <w:tcPr>
            <w:tcW w:w="5766"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通过访谈、检查网络边界、重要网络节点安全审计情况等，测评分析信息系统审计配置和审计记录保护，审计内容等情况。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6</w:t>
            </w:r>
          </w:p>
        </w:tc>
        <w:tc>
          <w:tcPr>
            <w:tcW w:w="1559" w:type="dxa"/>
            <w:shd w:val="clear" w:color="auto" w:fill="auto"/>
            <w:vAlign w:val="center"/>
          </w:tcPr>
          <w:p>
            <w:pPr>
              <w:spacing w:line="360" w:lineRule="auto"/>
              <w:jc w:val="center"/>
              <w:rPr>
                <w:rFonts w:ascii="宋体" w:hAnsi="宋体"/>
                <w:sz w:val="24"/>
                <w:szCs w:val="24"/>
              </w:rPr>
            </w:pPr>
            <w:r>
              <w:rPr>
                <w:rFonts w:ascii="宋体" w:hAnsi="宋体"/>
                <w:sz w:val="24"/>
                <w:szCs w:val="24"/>
              </w:rPr>
              <w:t>可信验证</w:t>
            </w:r>
          </w:p>
        </w:tc>
        <w:tc>
          <w:tcPr>
            <w:tcW w:w="5766" w:type="dxa"/>
            <w:shd w:val="clear" w:color="auto" w:fill="auto"/>
          </w:tcPr>
          <w:p>
            <w:pPr>
              <w:spacing w:line="360" w:lineRule="auto"/>
              <w:jc w:val="center"/>
              <w:rPr>
                <w:rFonts w:ascii="宋体" w:hAnsi="宋体"/>
                <w:sz w:val="24"/>
                <w:szCs w:val="24"/>
              </w:rPr>
            </w:pPr>
            <w:r>
              <w:rPr>
                <w:rFonts w:hint="eastAsia" w:ascii="宋体" w:hAnsi="宋体"/>
                <w:sz w:val="24"/>
                <w:szCs w:val="24"/>
              </w:rPr>
              <w:t>通过访谈、检查边界设备的系统引导、系统程序、重要配置参数和边界防护应用程序等进行可信验证及应用程序的关键执行环节进行动态可信验证的保护情况。</w:t>
            </w:r>
          </w:p>
        </w:tc>
      </w:tr>
    </w:tbl>
    <w:p>
      <w:pPr>
        <w:spacing w:line="360" w:lineRule="auto"/>
        <w:ind w:firstLine="480" w:firstLineChars="200"/>
        <w:rPr>
          <w:rFonts w:ascii="宋体" w:hAnsi="宋体"/>
          <w:sz w:val="24"/>
          <w:szCs w:val="24"/>
        </w:rPr>
      </w:pPr>
      <w:r>
        <w:rPr>
          <w:rFonts w:hint="eastAsia" w:ascii="宋体" w:hAnsi="宋体"/>
          <w:sz w:val="24"/>
          <w:szCs w:val="24"/>
        </w:rPr>
        <w:t>（4）安全计算环境</w:t>
      </w:r>
    </w:p>
    <w:tbl>
      <w:tblPr>
        <w:tblStyle w:val="15"/>
        <w:tblW w:w="8322" w:type="dxa"/>
        <w:jc w:val="center"/>
        <w:tblLayout w:type="autofit"/>
        <w:tblCellMar>
          <w:top w:w="57" w:type="dxa"/>
          <w:left w:w="108" w:type="dxa"/>
          <w:bottom w:w="57" w:type="dxa"/>
          <w:right w:w="108" w:type="dxa"/>
        </w:tblCellMar>
      </w:tblPr>
      <w:tblGrid>
        <w:gridCol w:w="923"/>
        <w:gridCol w:w="1637"/>
        <w:gridCol w:w="5762"/>
      </w:tblGrid>
      <w:tr>
        <w:tblPrEx>
          <w:tblCellMar>
            <w:top w:w="57" w:type="dxa"/>
            <w:left w:w="108" w:type="dxa"/>
            <w:bottom w:w="57" w:type="dxa"/>
            <w:right w:w="108" w:type="dxa"/>
          </w:tblCellMar>
        </w:tblPrEx>
        <w:trPr>
          <w:trHeight w:val="384" w:hRule="atLeast"/>
          <w:tblHeader/>
          <w:jc w:val="center"/>
        </w:trPr>
        <w:tc>
          <w:tcPr>
            <w:tcW w:w="9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jc w:val="center"/>
              <w:rPr>
                <w:rFonts w:ascii="宋体" w:hAnsi="宋体"/>
                <w:sz w:val="24"/>
                <w:szCs w:val="24"/>
              </w:rPr>
            </w:pPr>
            <w:r>
              <w:rPr>
                <w:rFonts w:hint="eastAsia" w:ascii="宋体" w:hAnsi="宋体"/>
                <w:sz w:val="24"/>
                <w:szCs w:val="24"/>
              </w:rPr>
              <w:t>序号</w:t>
            </w:r>
          </w:p>
        </w:tc>
        <w:tc>
          <w:tcPr>
            <w:tcW w:w="1637" w:type="dxa"/>
            <w:tcBorders>
              <w:top w:val="single" w:color="auto" w:sz="4" w:space="0"/>
              <w:left w:val="nil"/>
              <w:bottom w:val="single" w:color="auto" w:sz="4" w:space="0"/>
              <w:right w:val="single" w:color="auto" w:sz="4" w:space="0"/>
            </w:tcBorders>
            <w:shd w:val="clear" w:color="auto" w:fill="FFFFFF" w:themeFill="background1"/>
            <w:noWrap/>
            <w:vAlign w:val="center"/>
          </w:tcPr>
          <w:p>
            <w:pPr>
              <w:spacing w:line="360" w:lineRule="auto"/>
              <w:jc w:val="center"/>
              <w:rPr>
                <w:rFonts w:ascii="宋体" w:hAnsi="宋体"/>
                <w:sz w:val="24"/>
                <w:szCs w:val="24"/>
              </w:rPr>
            </w:pPr>
            <w:r>
              <w:rPr>
                <w:rFonts w:hint="eastAsia" w:ascii="宋体" w:hAnsi="宋体"/>
                <w:sz w:val="24"/>
                <w:szCs w:val="24"/>
              </w:rPr>
              <w:t>工作单元名称</w:t>
            </w:r>
          </w:p>
        </w:tc>
        <w:tc>
          <w:tcPr>
            <w:tcW w:w="5762" w:type="dxa"/>
            <w:tcBorders>
              <w:top w:val="single" w:color="auto" w:sz="4" w:space="0"/>
              <w:left w:val="nil"/>
              <w:bottom w:val="single" w:color="auto" w:sz="4" w:space="0"/>
              <w:right w:val="single" w:color="auto" w:sz="4" w:space="0"/>
            </w:tcBorders>
            <w:shd w:val="clear" w:color="auto" w:fill="FFFFFF" w:themeFill="background1"/>
            <w:noWrap/>
            <w:vAlign w:val="center"/>
          </w:tcPr>
          <w:p>
            <w:pPr>
              <w:spacing w:line="360" w:lineRule="auto"/>
              <w:jc w:val="center"/>
              <w:rPr>
                <w:rFonts w:ascii="宋体" w:hAnsi="宋体"/>
                <w:sz w:val="24"/>
                <w:szCs w:val="24"/>
              </w:rPr>
            </w:pPr>
            <w:r>
              <w:rPr>
                <w:rFonts w:hint="eastAsia" w:ascii="宋体" w:hAnsi="宋体"/>
                <w:sz w:val="24"/>
                <w:szCs w:val="24"/>
              </w:rPr>
              <w:t>工作单元描述</w:t>
            </w:r>
          </w:p>
        </w:tc>
      </w:tr>
      <w:tr>
        <w:tblPrEx>
          <w:tblCellMar>
            <w:top w:w="57" w:type="dxa"/>
            <w:left w:w="108" w:type="dxa"/>
            <w:bottom w:w="57" w:type="dxa"/>
            <w:right w:w="108" w:type="dxa"/>
          </w:tblCellMar>
        </w:tblPrEx>
        <w:trPr>
          <w:trHeight w:val="525" w:hRule="atLeast"/>
          <w:jc w:val="center"/>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4"/>
                <w:szCs w:val="24"/>
              </w:rPr>
            </w:pPr>
            <w:r>
              <w:rPr>
                <w:rFonts w:hint="eastAsia" w:ascii="宋体" w:hAnsi="宋体"/>
                <w:sz w:val="24"/>
                <w:szCs w:val="24"/>
              </w:rPr>
              <w:t>1</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身份鉴别</w:t>
            </w:r>
          </w:p>
        </w:tc>
        <w:tc>
          <w:tcPr>
            <w:tcW w:w="576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通过访谈、检查、测试对登录的用户进行身份标识和鉴别，是否具有不易被冒用的特点，口令应有复杂度要求并定期更换，以及远程管理安全、双因素鉴别等内容。</w:t>
            </w:r>
          </w:p>
        </w:tc>
      </w:tr>
      <w:tr>
        <w:tblPrEx>
          <w:tblCellMar>
            <w:top w:w="57" w:type="dxa"/>
            <w:left w:w="108" w:type="dxa"/>
            <w:bottom w:w="57" w:type="dxa"/>
            <w:right w:w="108" w:type="dxa"/>
          </w:tblCellMar>
        </w:tblPrEx>
        <w:trPr>
          <w:trHeight w:val="525" w:hRule="atLeast"/>
          <w:jc w:val="center"/>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4"/>
                <w:szCs w:val="24"/>
              </w:rPr>
            </w:pPr>
            <w:r>
              <w:rPr>
                <w:rFonts w:hint="eastAsia" w:ascii="宋体" w:hAnsi="宋体"/>
                <w:sz w:val="24"/>
                <w:szCs w:val="24"/>
              </w:rPr>
              <w:t>2</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访问控制</w:t>
            </w:r>
          </w:p>
        </w:tc>
        <w:tc>
          <w:tcPr>
            <w:tcW w:w="576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通过访谈、检查、测试是否启用访问控制功能，依据安全策略控制用户对资源的访问；是否根据管理用户的角色分配权限，实现管理用户的权限分离，仅授予管理用户所需的最小权限等内容。</w:t>
            </w:r>
          </w:p>
        </w:tc>
      </w:tr>
      <w:tr>
        <w:tblPrEx>
          <w:tblCellMar>
            <w:top w:w="57" w:type="dxa"/>
            <w:left w:w="108" w:type="dxa"/>
            <w:bottom w:w="57" w:type="dxa"/>
            <w:right w:w="108" w:type="dxa"/>
          </w:tblCellMar>
        </w:tblPrEx>
        <w:trPr>
          <w:trHeight w:val="525" w:hRule="atLeast"/>
          <w:jc w:val="center"/>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4"/>
                <w:szCs w:val="24"/>
              </w:rPr>
            </w:pPr>
            <w:r>
              <w:rPr>
                <w:rFonts w:hint="eastAsia" w:ascii="宋体" w:hAnsi="宋体"/>
                <w:sz w:val="24"/>
                <w:szCs w:val="24"/>
              </w:rPr>
              <w:t>3</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安全审计</w:t>
            </w:r>
          </w:p>
        </w:tc>
        <w:tc>
          <w:tcPr>
            <w:tcW w:w="576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通过访谈、检查安全审计范围及内容。</w:t>
            </w:r>
          </w:p>
        </w:tc>
      </w:tr>
      <w:tr>
        <w:tblPrEx>
          <w:tblCellMar>
            <w:top w:w="57" w:type="dxa"/>
            <w:left w:w="108" w:type="dxa"/>
            <w:bottom w:w="57" w:type="dxa"/>
            <w:right w:w="108" w:type="dxa"/>
          </w:tblCellMar>
        </w:tblPrEx>
        <w:trPr>
          <w:trHeight w:val="452" w:hRule="atLeast"/>
          <w:jc w:val="center"/>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4"/>
                <w:szCs w:val="24"/>
              </w:rPr>
            </w:pPr>
            <w:r>
              <w:rPr>
                <w:rFonts w:hint="eastAsia" w:ascii="宋体" w:hAnsi="宋体"/>
                <w:sz w:val="24"/>
                <w:szCs w:val="24"/>
              </w:rPr>
              <w:t>4</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入侵防范</w:t>
            </w:r>
          </w:p>
        </w:tc>
        <w:tc>
          <w:tcPr>
            <w:tcW w:w="576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是否能够检测到对重要节点进行入侵的行为，能够记录入侵的源IP、攻击的类型、攻击的目的、攻击的时间，并在发生严重入侵事件时提供报警，是否遵循最小化安全装原则、系统服务、默认共享和高危端口、终端接入限制、数据有效性检验、已知漏洞防护等内容。</w:t>
            </w:r>
          </w:p>
        </w:tc>
      </w:tr>
      <w:tr>
        <w:tblPrEx>
          <w:tblCellMar>
            <w:top w:w="57" w:type="dxa"/>
            <w:left w:w="108" w:type="dxa"/>
            <w:bottom w:w="57" w:type="dxa"/>
            <w:right w:w="108" w:type="dxa"/>
          </w:tblCellMar>
        </w:tblPrEx>
        <w:trPr>
          <w:trHeight w:val="525" w:hRule="atLeast"/>
          <w:jc w:val="center"/>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4"/>
                <w:szCs w:val="24"/>
              </w:rPr>
            </w:pPr>
            <w:r>
              <w:rPr>
                <w:rFonts w:hint="eastAsia" w:ascii="宋体" w:hAnsi="宋体"/>
                <w:sz w:val="24"/>
                <w:szCs w:val="24"/>
              </w:rPr>
              <w:t>5</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恶意代码防范</w:t>
            </w:r>
          </w:p>
        </w:tc>
        <w:tc>
          <w:tcPr>
            <w:tcW w:w="576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通过访谈、检查、测试是否具有防恶意代码攻击的技术措施或主动免疫可信验证机制，能否及时识别入侵和病毒行为并将其有效阻断等内容。</w:t>
            </w:r>
          </w:p>
        </w:tc>
      </w:tr>
      <w:tr>
        <w:tblPrEx>
          <w:tblCellMar>
            <w:top w:w="57" w:type="dxa"/>
            <w:left w:w="108" w:type="dxa"/>
            <w:bottom w:w="57" w:type="dxa"/>
            <w:right w:w="108" w:type="dxa"/>
          </w:tblCellMar>
        </w:tblPrEx>
        <w:trPr>
          <w:trHeight w:val="525" w:hRule="atLeast"/>
          <w:jc w:val="center"/>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4"/>
                <w:szCs w:val="24"/>
              </w:rPr>
            </w:pPr>
            <w:r>
              <w:rPr>
                <w:rFonts w:hint="eastAsia" w:ascii="宋体" w:hAnsi="宋体"/>
                <w:sz w:val="24"/>
                <w:szCs w:val="24"/>
              </w:rPr>
              <w:t>6</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ascii="宋体" w:hAnsi="宋体"/>
                <w:sz w:val="24"/>
                <w:szCs w:val="24"/>
              </w:rPr>
              <w:t>可信验证</w:t>
            </w:r>
          </w:p>
        </w:tc>
        <w:tc>
          <w:tcPr>
            <w:tcW w:w="5762" w:type="dxa"/>
            <w:tcBorders>
              <w:top w:val="single" w:color="auto" w:sz="4" w:space="0"/>
              <w:left w:val="nil"/>
              <w:bottom w:val="single" w:color="auto" w:sz="4" w:space="0"/>
              <w:right w:val="single" w:color="auto" w:sz="4" w:space="0"/>
            </w:tcBorders>
            <w:shd w:val="clear" w:color="auto" w:fill="auto"/>
          </w:tcPr>
          <w:p>
            <w:pPr>
              <w:spacing w:line="360" w:lineRule="auto"/>
              <w:jc w:val="center"/>
              <w:rPr>
                <w:rFonts w:ascii="宋体" w:hAnsi="宋体"/>
                <w:sz w:val="24"/>
                <w:szCs w:val="24"/>
              </w:rPr>
            </w:pPr>
            <w:r>
              <w:rPr>
                <w:rFonts w:hint="eastAsia" w:ascii="宋体" w:hAnsi="宋体"/>
                <w:sz w:val="24"/>
                <w:szCs w:val="24"/>
              </w:rPr>
              <w:t>通过访谈、通过访谈安全员，检查计算设备的系统引导、系统程序、重要配置参数和应用程序等进行可信验证及应用程序的关键执行环节进行动态可信验证的保护情况。</w:t>
            </w:r>
          </w:p>
        </w:tc>
      </w:tr>
      <w:tr>
        <w:tblPrEx>
          <w:tblCellMar>
            <w:top w:w="57" w:type="dxa"/>
            <w:left w:w="108" w:type="dxa"/>
            <w:bottom w:w="57" w:type="dxa"/>
            <w:right w:w="108" w:type="dxa"/>
          </w:tblCellMar>
        </w:tblPrEx>
        <w:trPr>
          <w:trHeight w:val="525" w:hRule="atLeast"/>
          <w:jc w:val="center"/>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4"/>
                <w:szCs w:val="24"/>
              </w:rPr>
            </w:pPr>
            <w:r>
              <w:rPr>
                <w:rFonts w:hint="eastAsia" w:ascii="宋体" w:hAnsi="宋体"/>
                <w:sz w:val="24"/>
                <w:szCs w:val="24"/>
              </w:rPr>
              <w:t>7</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数据完整性</w:t>
            </w:r>
          </w:p>
        </w:tc>
        <w:tc>
          <w:tcPr>
            <w:tcW w:w="576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通过访谈、检查、测试重要数据在传输和存储过程中的完整性保护情况，包括鉴别数据、重要业务数据、重要审计数据、重要配置数据、重要视频数据和重要个人信息等。</w:t>
            </w:r>
          </w:p>
        </w:tc>
      </w:tr>
      <w:tr>
        <w:tblPrEx>
          <w:tblCellMar>
            <w:top w:w="57" w:type="dxa"/>
            <w:left w:w="108" w:type="dxa"/>
            <w:bottom w:w="57" w:type="dxa"/>
            <w:right w:w="108" w:type="dxa"/>
          </w:tblCellMar>
        </w:tblPrEx>
        <w:trPr>
          <w:trHeight w:val="525" w:hRule="atLeast"/>
          <w:jc w:val="center"/>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4"/>
                <w:szCs w:val="24"/>
              </w:rPr>
            </w:pPr>
            <w:r>
              <w:rPr>
                <w:rFonts w:hint="eastAsia" w:ascii="宋体" w:hAnsi="宋体"/>
                <w:sz w:val="24"/>
                <w:szCs w:val="24"/>
              </w:rPr>
              <w:t>8</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数据保密性</w:t>
            </w:r>
          </w:p>
        </w:tc>
        <w:tc>
          <w:tcPr>
            <w:tcW w:w="576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通过访谈、检查、测试重要数据在传输和存储过程中的保密性保护情况，包括鉴别数据、重要业务数据、重要审计数据、重要配置数据、重要视频数据和重要个人信息等。</w:t>
            </w:r>
          </w:p>
        </w:tc>
      </w:tr>
      <w:tr>
        <w:tblPrEx>
          <w:tblCellMar>
            <w:top w:w="57" w:type="dxa"/>
            <w:left w:w="108" w:type="dxa"/>
            <w:bottom w:w="57" w:type="dxa"/>
            <w:right w:w="108" w:type="dxa"/>
          </w:tblCellMar>
        </w:tblPrEx>
        <w:trPr>
          <w:trHeight w:val="525" w:hRule="atLeast"/>
          <w:jc w:val="center"/>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4"/>
                <w:szCs w:val="24"/>
              </w:rPr>
            </w:pPr>
            <w:r>
              <w:rPr>
                <w:rFonts w:hint="eastAsia" w:ascii="宋体" w:hAnsi="宋体"/>
                <w:sz w:val="24"/>
                <w:szCs w:val="24"/>
              </w:rPr>
              <w:t>9</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数据备份恢复</w:t>
            </w:r>
          </w:p>
        </w:tc>
        <w:tc>
          <w:tcPr>
            <w:tcW w:w="576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通过访谈、检查、测试重要数据本地备份与恢复功能，异地实时备份功能，以及重要数据处理系统的热冗余和高可用性保证等。</w:t>
            </w:r>
          </w:p>
        </w:tc>
      </w:tr>
      <w:tr>
        <w:tblPrEx>
          <w:tblCellMar>
            <w:top w:w="57" w:type="dxa"/>
            <w:left w:w="108" w:type="dxa"/>
            <w:bottom w:w="57" w:type="dxa"/>
            <w:right w:w="108" w:type="dxa"/>
          </w:tblCellMar>
        </w:tblPrEx>
        <w:trPr>
          <w:trHeight w:val="525" w:hRule="atLeast"/>
          <w:jc w:val="center"/>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4"/>
                <w:szCs w:val="24"/>
              </w:rPr>
            </w:pPr>
            <w:r>
              <w:rPr>
                <w:rFonts w:hint="eastAsia" w:ascii="宋体" w:hAnsi="宋体"/>
                <w:sz w:val="24"/>
                <w:szCs w:val="24"/>
              </w:rPr>
              <w:t>10</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剩余信息保护</w:t>
            </w:r>
          </w:p>
        </w:tc>
        <w:tc>
          <w:tcPr>
            <w:tcW w:w="576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通过访谈、检查、测试边界信息在存储空间被释放或重新分配前是否有效清除，存有敏感数据的存储空间被释放或重新分配前是否有效清除等。</w:t>
            </w:r>
          </w:p>
        </w:tc>
      </w:tr>
      <w:tr>
        <w:tblPrEx>
          <w:tblCellMar>
            <w:top w:w="57" w:type="dxa"/>
            <w:left w:w="108" w:type="dxa"/>
            <w:bottom w:w="57" w:type="dxa"/>
            <w:right w:w="108" w:type="dxa"/>
          </w:tblCellMar>
        </w:tblPrEx>
        <w:trPr>
          <w:trHeight w:val="525" w:hRule="atLeast"/>
          <w:jc w:val="center"/>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4"/>
                <w:szCs w:val="24"/>
              </w:rPr>
            </w:pPr>
            <w:r>
              <w:rPr>
                <w:rFonts w:hint="eastAsia" w:ascii="宋体" w:hAnsi="宋体"/>
                <w:sz w:val="24"/>
                <w:szCs w:val="24"/>
              </w:rPr>
              <w:t>11</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ascii="宋体" w:hAnsi="宋体"/>
                <w:sz w:val="24"/>
                <w:szCs w:val="24"/>
              </w:rPr>
              <w:t>个人信息保护</w:t>
            </w:r>
          </w:p>
        </w:tc>
        <w:tc>
          <w:tcPr>
            <w:tcW w:w="576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通过访谈、检查、测试是否仅采集和保存业务必须的用户个人信息，对用户个人信息的访问和使用等。</w:t>
            </w:r>
          </w:p>
        </w:tc>
      </w:tr>
    </w:tbl>
    <w:p>
      <w:pPr>
        <w:spacing w:line="360" w:lineRule="auto"/>
        <w:ind w:firstLine="480" w:firstLineChars="200"/>
        <w:rPr>
          <w:rFonts w:ascii="宋体" w:hAnsi="宋体"/>
          <w:sz w:val="24"/>
          <w:szCs w:val="24"/>
        </w:rPr>
      </w:pPr>
      <w:r>
        <w:rPr>
          <w:rFonts w:hint="eastAsia" w:ascii="宋体" w:hAnsi="宋体"/>
          <w:sz w:val="24"/>
          <w:szCs w:val="24"/>
        </w:rPr>
        <w:t>（5）安全管理中心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828"/>
        <w:gridCol w:w="1736"/>
        <w:gridCol w:w="5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31" w:hRule="atLeast"/>
          <w:tblHeader/>
          <w:jc w:val="center"/>
        </w:trPr>
        <w:tc>
          <w:tcPr>
            <w:tcW w:w="828" w:type="dxa"/>
            <w:shd w:val="clear" w:color="auto" w:fill="FFFFFF" w:themeFill="background1"/>
            <w:vAlign w:val="center"/>
          </w:tcPr>
          <w:p>
            <w:pPr>
              <w:spacing w:line="360" w:lineRule="auto"/>
              <w:rPr>
                <w:rFonts w:ascii="宋体" w:hAnsi="宋体"/>
                <w:sz w:val="24"/>
                <w:szCs w:val="24"/>
              </w:rPr>
            </w:pPr>
            <w:r>
              <w:rPr>
                <w:rFonts w:hint="eastAsia" w:ascii="宋体" w:hAnsi="宋体"/>
                <w:sz w:val="24"/>
                <w:szCs w:val="24"/>
              </w:rPr>
              <w:t>序号</w:t>
            </w:r>
          </w:p>
        </w:tc>
        <w:tc>
          <w:tcPr>
            <w:tcW w:w="1736" w:type="dxa"/>
            <w:shd w:val="clear" w:color="auto" w:fill="FFFFFF" w:themeFill="background1"/>
            <w:vAlign w:val="center"/>
          </w:tcPr>
          <w:p>
            <w:pPr>
              <w:spacing w:line="360" w:lineRule="auto"/>
              <w:rPr>
                <w:rFonts w:ascii="宋体" w:hAnsi="宋体"/>
                <w:sz w:val="24"/>
                <w:szCs w:val="24"/>
              </w:rPr>
            </w:pPr>
            <w:r>
              <w:rPr>
                <w:rFonts w:hint="eastAsia" w:ascii="宋体" w:hAnsi="宋体"/>
                <w:sz w:val="24"/>
                <w:szCs w:val="24"/>
              </w:rPr>
              <w:t>工作单元名称</w:t>
            </w:r>
          </w:p>
        </w:tc>
        <w:tc>
          <w:tcPr>
            <w:tcW w:w="5766" w:type="dxa"/>
            <w:shd w:val="clear" w:color="auto" w:fill="FFFFFF" w:themeFill="background1"/>
            <w:vAlign w:val="center"/>
          </w:tcPr>
          <w:p>
            <w:pPr>
              <w:spacing w:line="360" w:lineRule="auto"/>
              <w:rPr>
                <w:rFonts w:ascii="宋体" w:hAnsi="宋体"/>
                <w:sz w:val="24"/>
                <w:szCs w:val="24"/>
              </w:rPr>
            </w:pPr>
            <w:r>
              <w:rPr>
                <w:rFonts w:hint="eastAsia" w:ascii="宋体" w:hAnsi="宋体"/>
                <w:sz w:val="24"/>
                <w:szCs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82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1736" w:type="dxa"/>
            <w:shd w:val="clear" w:color="auto" w:fill="auto"/>
            <w:vAlign w:val="center"/>
          </w:tcPr>
          <w:p>
            <w:pPr>
              <w:spacing w:line="360" w:lineRule="auto"/>
              <w:jc w:val="center"/>
              <w:rPr>
                <w:rFonts w:ascii="宋体" w:hAnsi="宋体"/>
                <w:sz w:val="24"/>
                <w:szCs w:val="24"/>
              </w:rPr>
            </w:pPr>
            <w:r>
              <w:rPr>
                <w:rFonts w:ascii="宋体" w:hAnsi="宋体"/>
                <w:sz w:val="24"/>
                <w:szCs w:val="24"/>
              </w:rPr>
              <w:t>系统管理</w:t>
            </w:r>
          </w:p>
        </w:tc>
        <w:tc>
          <w:tcPr>
            <w:tcW w:w="576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通过访谈、检查、测试对系统管理员身份鉴别、命令或操作管理、操作审计，以及是否通过系统管理对系统资源和运行进行配置、控制和管理等。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82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2</w:t>
            </w:r>
          </w:p>
        </w:tc>
        <w:tc>
          <w:tcPr>
            <w:tcW w:w="1736" w:type="dxa"/>
            <w:shd w:val="clear" w:color="auto" w:fill="auto"/>
            <w:vAlign w:val="center"/>
          </w:tcPr>
          <w:p>
            <w:pPr>
              <w:spacing w:line="360" w:lineRule="auto"/>
              <w:jc w:val="center"/>
              <w:rPr>
                <w:rFonts w:ascii="宋体" w:hAnsi="宋体"/>
                <w:sz w:val="24"/>
                <w:szCs w:val="24"/>
              </w:rPr>
            </w:pPr>
            <w:r>
              <w:rPr>
                <w:rFonts w:ascii="宋体" w:hAnsi="宋体"/>
                <w:sz w:val="24"/>
                <w:szCs w:val="24"/>
              </w:rPr>
              <w:t>审计管理</w:t>
            </w:r>
          </w:p>
        </w:tc>
        <w:tc>
          <w:tcPr>
            <w:tcW w:w="576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通过访谈、检查、测试对审计管理员身份鉴别、命令或操作管理、操作审计，以及是否通过审计管理员对审计策略、审计记录进行分析、处理等。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88" w:hRule="atLeast"/>
          <w:jc w:val="center"/>
        </w:trPr>
        <w:tc>
          <w:tcPr>
            <w:tcW w:w="82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3</w:t>
            </w:r>
          </w:p>
        </w:tc>
        <w:tc>
          <w:tcPr>
            <w:tcW w:w="1736" w:type="dxa"/>
            <w:shd w:val="clear" w:color="auto" w:fill="auto"/>
            <w:vAlign w:val="center"/>
          </w:tcPr>
          <w:p>
            <w:pPr>
              <w:spacing w:line="360" w:lineRule="auto"/>
              <w:jc w:val="center"/>
              <w:rPr>
                <w:rFonts w:ascii="宋体" w:hAnsi="宋体"/>
                <w:sz w:val="24"/>
                <w:szCs w:val="24"/>
              </w:rPr>
            </w:pPr>
            <w:r>
              <w:rPr>
                <w:rFonts w:ascii="宋体" w:hAnsi="宋体"/>
                <w:sz w:val="24"/>
                <w:szCs w:val="24"/>
              </w:rPr>
              <w:t>安全管理</w:t>
            </w:r>
          </w:p>
        </w:tc>
        <w:tc>
          <w:tcPr>
            <w:tcW w:w="576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通过访谈、检查、测试对安全管理员身份鉴别、命令或操作管理、操作审计，以及是否通过安全管理员对安全策略、参数进行配置等。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82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4</w:t>
            </w:r>
          </w:p>
        </w:tc>
        <w:tc>
          <w:tcPr>
            <w:tcW w:w="1736" w:type="dxa"/>
            <w:shd w:val="clear" w:color="auto" w:fill="auto"/>
            <w:vAlign w:val="center"/>
          </w:tcPr>
          <w:p>
            <w:pPr>
              <w:spacing w:line="360" w:lineRule="auto"/>
              <w:jc w:val="center"/>
              <w:rPr>
                <w:rFonts w:ascii="宋体" w:hAnsi="宋体"/>
                <w:sz w:val="24"/>
                <w:szCs w:val="24"/>
              </w:rPr>
            </w:pPr>
            <w:r>
              <w:rPr>
                <w:rFonts w:ascii="宋体" w:hAnsi="宋体"/>
                <w:sz w:val="24"/>
                <w:szCs w:val="24"/>
              </w:rPr>
              <w:t>集中管控</w:t>
            </w:r>
          </w:p>
        </w:tc>
        <w:tc>
          <w:tcPr>
            <w:tcW w:w="576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测试是否具有特定的管理区域，对分布在网络中的安全设备或安全组件进行集中管控，对网络链路、安全设备、网络设备和服务的运行进行集中监测，对分散在各设备上的审计数据进行收集汇总和集中分析，并确保记录留存符合法律法规要求，对安全策略、恶意代码、升级补丁等安全相关事项进行集中管理，对网络中发生的各类安全事件进行识别、报警和分析等。</w:t>
            </w:r>
          </w:p>
        </w:tc>
      </w:tr>
    </w:tbl>
    <w:p>
      <w:pPr>
        <w:spacing w:line="360" w:lineRule="auto"/>
        <w:ind w:firstLine="480" w:firstLineChars="200"/>
        <w:rPr>
          <w:rFonts w:ascii="宋体" w:hAnsi="宋体"/>
          <w:sz w:val="24"/>
          <w:szCs w:val="24"/>
        </w:rPr>
      </w:pPr>
      <w:r>
        <w:rPr>
          <w:rFonts w:hint="eastAsia" w:ascii="宋体" w:hAnsi="宋体"/>
          <w:sz w:val="24"/>
          <w:szCs w:val="24"/>
        </w:rPr>
        <w:t>（6）安全管理制度</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08"/>
        <w:gridCol w:w="1698"/>
        <w:gridCol w:w="5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1008"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序号</w:t>
            </w:r>
          </w:p>
        </w:tc>
        <w:tc>
          <w:tcPr>
            <w:tcW w:w="1698"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工作单元名称</w:t>
            </w:r>
          </w:p>
        </w:tc>
        <w:tc>
          <w:tcPr>
            <w:tcW w:w="5624"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1698" w:type="dxa"/>
            <w:shd w:val="clear" w:color="auto" w:fill="auto"/>
            <w:vAlign w:val="center"/>
          </w:tcPr>
          <w:p>
            <w:pPr>
              <w:spacing w:line="360" w:lineRule="auto"/>
              <w:jc w:val="center"/>
              <w:rPr>
                <w:rFonts w:ascii="宋体" w:hAnsi="宋体"/>
                <w:sz w:val="24"/>
                <w:szCs w:val="24"/>
              </w:rPr>
            </w:pPr>
            <w:r>
              <w:rPr>
                <w:rFonts w:ascii="宋体" w:hAnsi="宋体"/>
                <w:sz w:val="24"/>
                <w:szCs w:val="24"/>
              </w:rPr>
              <w:t>安全策略</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通过访谈、检查网络安全工作的总体方针我安全策略是否全面、完善。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2</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管理制度</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通过访谈、检查管理制度的制定和发布过程是否遵循一定的流程。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3</w:t>
            </w:r>
          </w:p>
        </w:tc>
        <w:tc>
          <w:tcPr>
            <w:tcW w:w="1698" w:type="dxa"/>
            <w:shd w:val="clear" w:color="auto" w:fill="auto"/>
            <w:vAlign w:val="center"/>
          </w:tcPr>
          <w:p>
            <w:pPr>
              <w:spacing w:line="360" w:lineRule="auto"/>
              <w:jc w:val="center"/>
              <w:rPr>
                <w:rFonts w:ascii="宋体" w:hAnsi="宋体"/>
                <w:sz w:val="24"/>
                <w:szCs w:val="24"/>
              </w:rPr>
            </w:pPr>
            <w:r>
              <w:rPr>
                <w:rFonts w:ascii="宋体" w:hAnsi="宋体"/>
                <w:sz w:val="24"/>
                <w:szCs w:val="24"/>
              </w:rPr>
              <w:t>制度和发布</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通过访谈、检查管理制度定期评审和修订情况。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4</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评审和修订</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通过访谈、检查管理制度在内容覆盖上是否全面、完善。</w:t>
            </w:r>
          </w:p>
        </w:tc>
      </w:tr>
    </w:tbl>
    <w:p>
      <w:pPr>
        <w:spacing w:line="360" w:lineRule="auto"/>
        <w:ind w:firstLine="480" w:firstLineChars="200"/>
        <w:rPr>
          <w:rFonts w:ascii="宋体" w:hAnsi="宋体"/>
          <w:sz w:val="24"/>
          <w:szCs w:val="24"/>
        </w:rPr>
      </w:pPr>
      <w:r>
        <w:rPr>
          <w:rFonts w:hint="eastAsia" w:ascii="宋体" w:hAnsi="宋体"/>
          <w:sz w:val="24"/>
          <w:szCs w:val="24"/>
        </w:rPr>
        <w:t>（7）安全管理机构</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05"/>
        <w:gridCol w:w="1701"/>
        <w:gridCol w:w="5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1005"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序号</w:t>
            </w:r>
          </w:p>
        </w:tc>
        <w:tc>
          <w:tcPr>
            <w:tcW w:w="1701"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工作单元名称</w:t>
            </w:r>
          </w:p>
        </w:tc>
        <w:tc>
          <w:tcPr>
            <w:tcW w:w="5624"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岗位设置</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通过访谈、检查安全主管部门设置情况以及各岗位设置和岗位职责情况。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2</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人员配备</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通过访谈、检查各个岗位人员配备情况。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3</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授权和审批</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通过访谈、检查对关键活动的授权和审批情况。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4</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沟通和合作</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通过访谈、检查内部部门间、与外部单位间的沟通与合作情况。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5"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5</w:t>
            </w:r>
          </w:p>
        </w:tc>
        <w:tc>
          <w:tcPr>
            <w:tcW w:w="1701"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审核和检查</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通过访谈、检查安全工作的审核和检查情况。</w:t>
            </w:r>
          </w:p>
        </w:tc>
      </w:tr>
    </w:tbl>
    <w:p>
      <w:pPr>
        <w:spacing w:line="360" w:lineRule="auto"/>
        <w:ind w:firstLine="480" w:firstLineChars="200"/>
        <w:rPr>
          <w:rFonts w:ascii="宋体" w:hAnsi="宋体"/>
          <w:sz w:val="24"/>
          <w:szCs w:val="24"/>
        </w:rPr>
      </w:pPr>
      <w:r>
        <w:rPr>
          <w:rFonts w:hint="eastAsia" w:ascii="宋体" w:hAnsi="宋体"/>
          <w:sz w:val="24"/>
          <w:szCs w:val="24"/>
        </w:rPr>
        <w:t>（8）安全管理人员</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08"/>
        <w:gridCol w:w="1698"/>
        <w:gridCol w:w="5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1008"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序号</w:t>
            </w:r>
          </w:p>
        </w:tc>
        <w:tc>
          <w:tcPr>
            <w:tcW w:w="1698"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工作单元名称</w:t>
            </w:r>
          </w:p>
        </w:tc>
        <w:tc>
          <w:tcPr>
            <w:tcW w:w="5624"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人员录用</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通过访谈、检查录用人员时是否对人员提出要求以及是否对其进行各种审查和考核。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2</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人员离岗</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通过访谈、检查人员离岗时是否按照一定的手续办理。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3</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安全意识教育和培训</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通过访谈、检查是否对人员进行安全方面的教育和培训。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4</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外部人员访问管理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通过访谈、检查对第三方人员访问（物理、逻辑）系统是否采取必要控制措施。</w:t>
            </w:r>
          </w:p>
        </w:tc>
      </w:tr>
    </w:tbl>
    <w:p>
      <w:pPr>
        <w:spacing w:line="360" w:lineRule="auto"/>
        <w:ind w:firstLine="480" w:firstLineChars="200"/>
        <w:rPr>
          <w:rFonts w:ascii="宋体" w:hAnsi="宋体"/>
          <w:sz w:val="24"/>
          <w:szCs w:val="24"/>
        </w:rPr>
      </w:pPr>
      <w:r>
        <w:rPr>
          <w:rFonts w:hint="eastAsia" w:ascii="宋体" w:hAnsi="宋体"/>
          <w:sz w:val="24"/>
          <w:szCs w:val="24"/>
        </w:rPr>
        <w:t>（9）安全建设管理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08"/>
        <w:gridCol w:w="1698"/>
        <w:gridCol w:w="5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1008"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序号</w:t>
            </w:r>
          </w:p>
        </w:tc>
        <w:tc>
          <w:tcPr>
            <w:tcW w:w="1698"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工作单元名称</w:t>
            </w:r>
          </w:p>
        </w:tc>
        <w:tc>
          <w:tcPr>
            <w:tcW w:w="5624"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1698" w:type="dxa"/>
            <w:shd w:val="clear" w:color="auto" w:fill="auto"/>
            <w:vAlign w:val="center"/>
          </w:tcPr>
          <w:p>
            <w:pPr>
              <w:spacing w:line="360" w:lineRule="auto"/>
              <w:jc w:val="center"/>
              <w:rPr>
                <w:rFonts w:ascii="宋体" w:hAnsi="宋体"/>
                <w:sz w:val="24"/>
                <w:szCs w:val="24"/>
              </w:rPr>
            </w:pPr>
            <w:r>
              <w:rPr>
                <w:rFonts w:ascii="宋体" w:hAnsi="宋体"/>
                <w:sz w:val="24"/>
                <w:szCs w:val="24"/>
              </w:rPr>
              <w:t>定级和备案</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通过访谈、检查是否按照一定要求确定系统的安全等级。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2</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安全方案设计</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通过访谈、检查整体的安全规划设计是否按照一定流程进行。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3</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产品采购和使用</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通过访谈、检查是否按照一定的要求进行系统的产品采购。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4</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自行软件开发</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通过访谈、检查自行开发的软件是否采取必要的措施保证开发过程的安全性。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5</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外包软件开发</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通过访谈、检查外包开发的软件是否采取必要的措施保证开发过程的安全性和日后的维护工作能够正常开展。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6</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工程实施</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通过访谈、检查建设的实施过程是否采取必要的措施使其在机构可控的范围内进行。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7</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测试验收</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通过访谈、检查系统运行前是否对其进行测试验收工作。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8</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系统交付</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通过访谈、检查是否采取必要的措施对系统交付过程进行有效控制。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9</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等级测评</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通过访谈、检查等级测评、整改情况。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10</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服务商选择</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通过访谈、检查是否选择符合国家有关规定的安全服务单位进行相关的安全服务工作。</w:t>
            </w:r>
          </w:p>
        </w:tc>
      </w:tr>
    </w:tbl>
    <w:p>
      <w:pPr>
        <w:spacing w:line="360" w:lineRule="auto"/>
        <w:ind w:firstLine="240" w:firstLineChars="100"/>
        <w:rPr>
          <w:rFonts w:ascii="宋体" w:hAnsi="宋体"/>
          <w:sz w:val="24"/>
          <w:szCs w:val="24"/>
        </w:rPr>
      </w:pPr>
      <w:r>
        <w:rPr>
          <w:rFonts w:hint="eastAsia" w:ascii="宋体" w:hAnsi="宋体"/>
          <w:sz w:val="24"/>
          <w:szCs w:val="24"/>
        </w:rPr>
        <w:t>（10）安全运维管理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08"/>
        <w:gridCol w:w="1698"/>
        <w:gridCol w:w="5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1008"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序号</w:t>
            </w:r>
          </w:p>
        </w:tc>
        <w:tc>
          <w:tcPr>
            <w:tcW w:w="1698"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工作单元名称</w:t>
            </w:r>
          </w:p>
        </w:tc>
        <w:tc>
          <w:tcPr>
            <w:tcW w:w="5624" w:type="dxa"/>
            <w:shd w:val="clear" w:color="auto" w:fill="FFFFFF" w:themeFill="background1"/>
            <w:vAlign w:val="center"/>
          </w:tcPr>
          <w:p>
            <w:pPr>
              <w:spacing w:line="360" w:lineRule="auto"/>
              <w:jc w:val="center"/>
              <w:rPr>
                <w:rFonts w:ascii="宋体" w:hAnsi="宋体"/>
                <w:sz w:val="24"/>
                <w:szCs w:val="24"/>
              </w:rPr>
            </w:pPr>
            <w:r>
              <w:rPr>
                <w:rFonts w:hint="eastAsia" w:ascii="宋体" w:hAnsi="宋体"/>
                <w:sz w:val="24"/>
                <w:szCs w:val="24"/>
              </w:rPr>
              <w:t>工作单元描述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环境管理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通过访谈、检查是否采取必要的措施对机房的出入控制以及办公环境的人员行为等方面进行安全管理。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2</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资产管理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通过访谈、检查是否采取必要的措施对系统的资产进行分类标识管理。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3</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介质管理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通过访谈、检查是否采取必要的措施对介质存放环境、使用、维护和销毁等方面进行管理。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4</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设备维护管理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通过访谈、检查是否采取必要的措施确保设备在使用、维护和销毁等过程安全。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5</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漏洞和风险管理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通过访谈、检查安全漏洞和隐患识别、处理情况，以及是否定期开展安全测评以及安全问题的应对措施。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6</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网络和系统安全管理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采取必要的措施对系统的安全配置、系统账户、漏洞扫描和审计日志等方面进行有效的管理。是否采取必要的措施对网络的安全配置、网络用户权限和审计日志等方面进行有效的管理，确保网络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7</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恶意代码防范管理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通过访谈、检查是否采取必要的措施对恶意代码进行有效管理，确保系统具有恶意代码防范能力。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8</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配置管理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通过访谈、检查基本配置信息管理情况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9</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密码管理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通过访谈、检查是否能够确保信息系统中密码算法和密钥的使用符合国家密码管理规定。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10</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变更管理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通过访谈、检查是否采取必要的措施对系统发生的变更进行有效管理。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11</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备份与恢复管理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通过访谈、检查是否采取必要的措施对重要业务信息，系统数据和系统软件进行备份，并确保必要时能够对这些数据有效地恢复。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12</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安全事件处置</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通过访谈、检查是否采取必要的措施对安全事件进行等级划分和对安全事件的报告、处理过程进行有效的管理。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13</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应急预案管理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通过访谈、检查是否针对不同安全事件制定相应的应急预案，是否对应急预案展开培训、演练和审查等。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0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14</w:t>
            </w:r>
          </w:p>
        </w:tc>
        <w:tc>
          <w:tcPr>
            <w:tcW w:w="169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外包运维管理</w:t>
            </w:r>
          </w:p>
        </w:tc>
        <w:tc>
          <w:tcPr>
            <w:tcW w:w="5624"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通过访谈、检查外包运维服务商选择是否符合国家要求，外包运维保密、服务内容管理等。</w:t>
            </w:r>
          </w:p>
        </w:tc>
      </w:tr>
    </w:tbl>
    <w:p>
      <w:pPr>
        <w:spacing w:line="360" w:lineRule="auto"/>
        <w:ind w:firstLine="480" w:firstLineChars="200"/>
        <w:rPr>
          <w:rFonts w:ascii="宋体" w:hAnsi="宋体"/>
          <w:sz w:val="24"/>
          <w:szCs w:val="24"/>
        </w:rPr>
      </w:pPr>
      <w:r>
        <w:rPr>
          <w:rFonts w:hint="eastAsia" w:ascii="宋体" w:hAnsi="宋体"/>
          <w:sz w:val="24"/>
          <w:szCs w:val="24"/>
        </w:rPr>
        <w:t>（11）安全扩展要求</w:t>
      </w:r>
    </w:p>
    <w:p>
      <w:pPr>
        <w:spacing w:line="360" w:lineRule="auto"/>
        <w:ind w:firstLine="480" w:firstLineChars="200"/>
        <w:rPr>
          <w:rFonts w:ascii="宋体" w:hAnsi="宋体"/>
          <w:sz w:val="24"/>
          <w:szCs w:val="24"/>
        </w:rPr>
      </w:pPr>
      <w:r>
        <w:rPr>
          <w:rFonts w:hint="eastAsia" w:ascii="宋体" w:hAnsi="宋体"/>
          <w:sz w:val="24"/>
          <w:szCs w:val="24"/>
        </w:rPr>
        <w:t>按照所测评系统的具体情况选用云计算安全扩展要求、移动互联安全扩展要求、物联网安全扩展要求、工业控制系统安全扩展要求。</w:t>
      </w:r>
    </w:p>
    <w:p>
      <w:pPr>
        <w:spacing w:line="360" w:lineRule="auto"/>
        <w:ind w:firstLine="480" w:firstLineChars="200"/>
        <w:rPr>
          <w:rFonts w:ascii="宋体" w:hAnsi="宋体"/>
          <w:sz w:val="24"/>
          <w:szCs w:val="24"/>
        </w:rPr>
      </w:pPr>
      <w:r>
        <w:rPr>
          <w:rFonts w:hint="eastAsia" w:ascii="宋体" w:hAnsi="宋体"/>
          <w:sz w:val="24"/>
          <w:szCs w:val="24"/>
        </w:rPr>
        <w:t>（12）验证测试相关要求</w:t>
      </w:r>
    </w:p>
    <w:p>
      <w:pPr>
        <w:spacing w:line="360" w:lineRule="auto"/>
        <w:ind w:firstLine="480" w:firstLineChars="200"/>
        <w:rPr>
          <w:rFonts w:ascii="宋体" w:hAnsi="宋体"/>
          <w:sz w:val="24"/>
          <w:szCs w:val="24"/>
        </w:rPr>
      </w:pPr>
      <w:r>
        <w:rPr>
          <w:rFonts w:hint="eastAsia" w:ascii="宋体" w:hAnsi="宋体"/>
          <w:sz w:val="24"/>
          <w:szCs w:val="24"/>
        </w:rPr>
        <w:t>按照等级保护测评要求，测评过程中应配备必要的工具、仪器/设备对信息系统进行验证测试，采用的测评工具的生产商应为正规厂商，具有一定的研发和服务能力，能够对产品进行持续更新并提供质量和安全保障。</w:t>
      </w:r>
    </w:p>
    <w:p>
      <w:pPr>
        <w:spacing w:line="360" w:lineRule="auto"/>
        <w:ind w:firstLine="480" w:firstLineChars="200"/>
        <w:rPr>
          <w:rFonts w:ascii="宋体" w:hAnsi="宋体"/>
          <w:sz w:val="24"/>
          <w:szCs w:val="24"/>
        </w:rPr>
      </w:pPr>
      <w:r>
        <w:rPr>
          <w:rFonts w:hint="eastAsia" w:ascii="宋体" w:hAnsi="宋体"/>
          <w:sz w:val="24"/>
          <w:szCs w:val="24"/>
        </w:rPr>
        <w:t>验证测试内容包括但不限于以下内：</w:t>
      </w:r>
    </w:p>
    <w:p>
      <w:pPr>
        <w:spacing w:line="360" w:lineRule="auto"/>
        <w:ind w:firstLine="480" w:firstLineChars="200"/>
        <w:rPr>
          <w:rFonts w:ascii="宋体" w:hAnsi="宋体"/>
          <w:sz w:val="24"/>
          <w:szCs w:val="24"/>
        </w:rPr>
      </w:pPr>
      <w:r>
        <w:rPr>
          <w:rFonts w:hint="eastAsia" w:ascii="宋体" w:hAnsi="宋体"/>
          <w:sz w:val="24"/>
          <w:szCs w:val="24"/>
        </w:rPr>
        <w:t>1.渗透测试</w:t>
      </w:r>
    </w:p>
    <w:p>
      <w:pPr>
        <w:spacing w:line="360" w:lineRule="auto"/>
        <w:ind w:firstLine="480" w:firstLineChars="200"/>
        <w:rPr>
          <w:rFonts w:ascii="宋体" w:hAnsi="宋体"/>
          <w:sz w:val="24"/>
          <w:szCs w:val="24"/>
        </w:rPr>
      </w:pPr>
      <w:r>
        <w:rPr>
          <w:rFonts w:hint="eastAsia" w:ascii="宋体" w:hAnsi="宋体"/>
          <w:sz w:val="24"/>
          <w:szCs w:val="24"/>
        </w:rPr>
        <w:t>验证安全策略正确性；保证用户登录窗体身份验证的安全性；非授权用户不能浏览到未授权内容；不存在跨站点脚本攻击漏洞；脚本不存在SQL、Cookie注入漏洞；安全的处理异常，没有出错页面泄露系统信息；应用和系统漏洞及其他，并提出整改建议。验证内容包括（但不限于）以下几个方面：</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ind w:firstLine="480" w:firstLineChars="200"/>
              <w:rPr>
                <w:rFonts w:hint="eastAsia" w:ascii="宋体" w:hAnsi="宋体" w:eastAsiaTheme="minorEastAsia"/>
                <w:sz w:val="24"/>
                <w:szCs w:val="24"/>
                <w:lang w:eastAsia="zh-CN"/>
              </w:rPr>
            </w:pPr>
            <w:r>
              <w:rPr>
                <w:rFonts w:hint="eastAsia" w:ascii="宋体" w:hAnsi="宋体"/>
                <w:sz w:val="24"/>
                <w:szCs w:val="24"/>
              </w:rPr>
              <w:t>注入</w:t>
            </w:r>
          </w:p>
        </w:tc>
        <w:tc>
          <w:tcPr>
            <w:tcW w:w="4261" w:type="dxa"/>
          </w:tcPr>
          <w:p>
            <w:pPr>
              <w:spacing w:line="360" w:lineRule="auto"/>
              <w:ind w:firstLine="480" w:firstLineChars="200"/>
              <w:rPr>
                <w:rFonts w:ascii="宋体" w:hAnsi="宋体"/>
                <w:sz w:val="24"/>
                <w:szCs w:val="24"/>
              </w:rPr>
            </w:pPr>
            <w:r>
              <w:rPr>
                <w:rFonts w:hint="eastAsia" w:ascii="宋体" w:hAnsi="宋体"/>
                <w:sz w:val="24"/>
                <w:szCs w:val="24"/>
              </w:rPr>
              <w:t>失效的身份认证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ind w:firstLine="480" w:firstLineChars="200"/>
              <w:rPr>
                <w:rFonts w:ascii="宋体" w:hAnsi="宋体"/>
                <w:sz w:val="24"/>
                <w:szCs w:val="24"/>
              </w:rPr>
            </w:pPr>
            <w:r>
              <w:rPr>
                <w:rFonts w:hint="eastAsia" w:ascii="宋体" w:hAnsi="宋体"/>
                <w:sz w:val="24"/>
                <w:szCs w:val="24"/>
              </w:rPr>
              <w:t>敏感信息泄露</w:t>
            </w:r>
          </w:p>
        </w:tc>
        <w:tc>
          <w:tcPr>
            <w:tcW w:w="4261" w:type="dxa"/>
          </w:tcPr>
          <w:p>
            <w:pPr>
              <w:spacing w:line="360" w:lineRule="auto"/>
              <w:ind w:firstLine="480" w:firstLineChars="200"/>
              <w:rPr>
                <w:rFonts w:ascii="宋体" w:hAnsi="宋体"/>
                <w:sz w:val="24"/>
                <w:szCs w:val="24"/>
              </w:rPr>
            </w:pPr>
            <w:r>
              <w:rPr>
                <w:rFonts w:hint="eastAsia" w:ascii="宋体" w:hAnsi="宋体"/>
                <w:sz w:val="24"/>
                <w:szCs w:val="24"/>
              </w:rPr>
              <w:t>XML外部实体（XXE）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ind w:firstLine="480" w:firstLineChars="200"/>
              <w:rPr>
                <w:rFonts w:ascii="宋体" w:hAnsi="宋体"/>
                <w:sz w:val="24"/>
                <w:szCs w:val="24"/>
              </w:rPr>
            </w:pPr>
            <w:r>
              <w:rPr>
                <w:rFonts w:hint="eastAsia" w:ascii="宋体" w:hAnsi="宋体"/>
                <w:sz w:val="24"/>
                <w:szCs w:val="24"/>
              </w:rPr>
              <w:t>失效的访问控制</w:t>
            </w:r>
          </w:p>
        </w:tc>
        <w:tc>
          <w:tcPr>
            <w:tcW w:w="4261" w:type="dxa"/>
          </w:tcPr>
          <w:p>
            <w:pPr>
              <w:spacing w:line="360" w:lineRule="auto"/>
              <w:ind w:firstLine="480" w:firstLineChars="200"/>
              <w:rPr>
                <w:rFonts w:ascii="宋体" w:hAnsi="宋体"/>
                <w:sz w:val="24"/>
                <w:szCs w:val="24"/>
              </w:rPr>
            </w:pPr>
            <w:r>
              <w:rPr>
                <w:rFonts w:hint="eastAsia" w:ascii="宋体" w:hAnsi="宋体"/>
                <w:sz w:val="24"/>
                <w:szCs w:val="24"/>
              </w:rPr>
              <w:t>安全配置错误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ind w:firstLine="480" w:firstLineChars="200"/>
              <w:rPr>
                <w:rFonts w:ascii="宋体" w:hAnsi="宋体"/>
                <w:sz w:val="24"/>
                <w:szCs w:val="24"/>
              </w:rPr>
            </w:pPr>
            <w:r>
              <w:rPr>
                <w:rFonts w:hint="eastAsia" w:ascii="宋体" w:hAnsi="宋体"/>
                <w:sz w:val="24"/>
                <w:szCs w:val="24"/>
              </w:rPr>
              <w:t>跨站脚本（XSS）</w:t>
            </w:r>
          </w:p>
        </w:tc>
        <w:tc>
          <w:tcPr>
            <w:tcW w:w="4261" w:type="dxa"/>
          </w:tcPr>
          <w:p>
            <w:pPr>
              <w:spacing w:line="360" w:lineRule="auto"/>
              <w:ind w:firstLine="480" w:firstLineChars="200"/>
              <w:rPr>
                <w:rFonts w:ascii="宋体" w:hAnsi="宋体"/>
                <w:sz w:val="24"/>
                <w:szCs w:val="24"/>
              </w:rPr>
            </w:pPr>
            <w:r>
              <w:rPr>
                <w:rFonts w:hint="eastAsia" w:ascii="宋体" w:hAnsi="宋体"/>
                <w:sz w:val="24"/>
                <w:szCs w:val="24"/>
              </w:rPr>
              <w:t>不安全的反序列化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ind w:firstLine="480" w:firstLineChars="200"/>
              <w:rPr>
                <w:rFonts w:ascii="宋体" w:hAnsi="宋体"/>
                <w:sz w:val="24"/>
                <w:szCs w:val="24"/>
              </w:rPr>
            </w:pPr>
            <w:r>
              <w:rPr>
                <w:rFonts w:hint="eastAsia" w:ascii="宋体" w:hAnsi="宋体"/>
                <w:sz w:val="24"/>
                <w:szCs w:val="24"/>
              </w:rPr>
              <w:t>使用含有已知漏洞的组件</w:t>
            </w:r>
          </w:p>
        </w:tc>
        <w:tc>
          <w:tcPr>
            <w:tcW w:w="4261" w:type="dxa"/>
          </w:tcPr>
          <w:p>
            <w:pPr>
              <w:spacing w:line="360" w:lineRule="auto"/>
              <w:ind w:firstLine="480" w:firstLineChars="200"/>
              <w:rPr>
                <w:rFonts w:ascii="宋体" w:hAnsi="宋体"/>
                <w:sz w:val="24"/>
                <w:szCs w:val="24"/>
              </w:rPr>
            </w:pPr>
            <w:r>
              <w:rPr>
                <w:rFonts w:hint="eastAsia" w:ascii="宋体" w:hAnsi="宋体"/>
                <w:sz w:val="24"/>
                <w:szCs w:val="24"/>
              </w:rPr>
              <w:t>不足的日志记录和监控</w:t>
            </w:r>
          </w:p>
        </w:tc>
      </w:tr>
    </w:tbl>
    <w:p>
      <w:pPr>
        <w:spacing w:line="360" w:lineRule="auto"/>
        <w:ind w:firstLine="480" w:firstLineChars="200"/>
        <w:rPr>
          <w:rFonts w:ascii="宋体" w:hAnsi="宋体"/>
          <w:sz w:val="24"/>
          <w:szCs w:val="24"/>
        </w:rPr>
      </w:pPr>
      <w:r>
        <w:rPr>
          <w:rFonts w:hint="eastAsia" w:ascii="宋体" w:hAnsi="宋体"/>
          <w:sz w:val="24"/>
          <w:szCs w:val="24"/>
        </w:rPr>
        <w:t>2．性能测试</w:t>
      </w:r>
    </w:p>
    <w:p>
      <w:pPr>
        <w:spacing w:line="360" w:lineRule="auto"/>
        <w:ind w:firstLine="480" w:firstLineChars="200"/>
        <w:rPr>
          <w:rFonts w:ascii="宋体" w:hAnsi="宋体"/>
          <w:sz w:val="24"/>
          <w:szCs w:val="24"/>
        </w:rPr>
      </w:pPr>
      <w:r>
        <w:rPr>
          <w:rFonts w:hint="eastAsia" w:ascii="宋体" w:hAnsi="宋体"/>
          <w:sz w:val="24"/>
          <w:szCs w:val="24"/>
        </w:rPr>
        <w:t>通过模拟手段对网络（包括丢包、时延、带宽等）、软件系统（包括负载、响应）、负载下硬件占用（包含CPU、内存）等进行全面的测评评估验证系统的可靠性、可用性，通过对测试结果的分析，给出相应的整改建议。</w:t>
      </w:r>
    </w:p>
    <w:p>
      <w:pPr>
        <w:spacing w:line="360" w:lineRule="auto"/>
        <w:ind w:firstLine="480" w:firstLineChars="200"/>
        <w:rPr>
          <w:rFonts w:ascii="宋体" w:hAnsi="宋体"/>
          <w:sz w:val="24"/>
          <w:szCs w:val="24"/>
        </w:rPr>
      </w:pPr>
      <w:r>
        <w:rPr>
          <w:rFonts w:hint="eastAsia" w:ascii="宋体" w:hAnsi="宋体"/>
          <w:sz w:val="24"/>
          <w:szCs w:val="24"/>
        </w:rPr>
        <w:t>3．漏洞扫描</w:t>
      </w:r>
    </w:p>
    <w:p>
      <w:pPr>
        <w:spacing w:line="360" w:lineRule="auto"/>
        <w:ind w:firstLine="480" w:firstLineChars="200"/>
        <w:rPr>
          <w:rFonts w:ascii="宋体" w:hAnsi="宋体"/>
          <w:sz w:val="24"/>
          <w:szCs w:val="24"/>
        </w:rPr>
      </w:pPr>
      <w:r>
        <w:rPr>
          <w:rFonts w:hint="eastAsia" w:ascii="宋体" w:hAnsi="宋体"/>
          <w:sz w:val="24"/>
          <w:szCs w:val="24"/>
        </w:rPr>
        <w:t>据相关标准、规范要求对重要信息系统的安全漏洞进行测评。分析总结系统中存在的主要安全漏洞，指出系统中可能被利用的安全漏洞、系统配置错误等缺陷以及相应的安全加固意见、建议。</w:t>
      </w:r>
    </w:p>
    <w:p>
      <w:pPr>
        <w:spacing w:line="360" w:lineRule="auto"/>
        <w:rPr>
          <w:rFonts w:ascii="宋体" w:hAnsi="宋体"/>
          <w:b/>
          <w:sz w:val="24"/>
          <w:szCs w:val="24"/>
        </w:rPr>
      </w:pPr>
      <w:r>
        <w:rPr>
          <w:rFonts w:hint="eastAsia" w:ascii="宋体" w:hAnsi="宋体"/>
          <w:b/>
          <w:sz w:val="24"/>
          <w:szCs w:val="24"/>
        </w:rPr>
        <w:t>四：测评工作步骤</w:t>
      </w:r>
    </w:p>
    <w:p>
      <w:pPr>
        <w:spacing w:line="360" w:lineRule="auto"/>
        <w:ind w:firstLine="480" w:firstLineChars="200"/>
        <w:rPr>
          <w:rFonts w:ascii="宋体" w:hAnsi="宋体"/>
          <w:sz w:val="24"/>
          <w:szCs w:val="24"/>
        </w:rPr>
      </w:pPr>
      <w:r>
        <w:rPr>
          <w:rFonts w:hint="eastAsia" w:ascii="宋体" w:hAnsi="宋体"/>
          <w:sz w:val="24"/>
          <w:szCs w:val="24"/>
        </w:rPr>
        <w:t>等级保护测评工作流程，受委托测评机构实施的等级测评工作活动及流程与运营、使用单位的自查活动及流程会有所差异，初次等级测评和再次等级测评的工作活动及流程也不完全相同，而且针对不同等级信息系统实施的等级测评工作活动及流程也不相同。受委托测评机构对信息系统的初次等级测评可以分为四项活动：测评准备活动、方案编制活动、现场测评活动、分析与报告编制活动。投标方应对等级保护测评各阶段具体工作内容进行描述。</w:t>
      </w:r>
    </w:p>
    <w:p>
      <w:pPr>
        <w:spacing w:line="360" w:lineRule="auto"/>
        <w:ind w:firstLine="480" w:firstLineChars="200"/>
        <w:rPr>
          <w:rFonts w:ascii="宋体" w:hAnsi="宋体"/>
          <w:sz w:val="24"/>
          <w:szCs w:val="24"/>
        </w:rPr>
      </w:pPr>
      <w:r>
        <w:rPr>
          <w:rFonts w:hint="eastAsia" w:ascii="宋体" w:hAnsi="宋体"/>
          <w:sz w:val="24"/>
          <w:szCs w:val="24"/>
        </w:rPr>
        <w:t>1.准备活动阶段：对被测系统进行调研分析，明确测评对象、测评方法等工作。</w:t>
      </w:r>
    </w:p>
    <w:p>
      <w:pPr>
        <w:spacing w:line="360" w:lineRule="auto"/>
        <w:ind w:firstLine="480" w:firstLineChars="200"/>
        <w:rPr>
          <w:rFonts w:ascii="宋体" w:hAnsi="宋体"/>
          <w:sz w:val="24"/>
          <w:szCs w:val="24"/>
        </w:rPr>
      </w:pPr>
      <w:r>
        <w:rPr>
          <w:rFonts w:hint="eastAsia" w:ascii="宋体" w:hAnsi="宋体"/>
          <w:sz w:val="24"/>
          <w:szCs w:val="24"/>
        </w:rPr>
        <w:t>2.方案编制阶段：制定信息安全等级保护测评项目计划书、测评实施方案，并提交委托方确认。</w:t>
      </w:r>
    </w:p>
    <w:p>
      <w:pPr>
        <w:spacing w:line="360" w:lineRule="auto"/>
        <w:ind w:firstLine="480" w:firstLineChars="200"/>
        <w:rPr>
          <w:rFonts w:ascii="宋体" w:hAnsi="宋体"/>
          <w:sz w:val="24"/>
          <w:szCs w:val="24"/>
        </w:rPr>
      </w:pPr>
      <w:r>
        <w:rPr>
          <w:rFonts w:hint="eastAsia" w:ascii="宋体" w:hAnsi="宋体"/>
          <w:sz w:val="24"/>
          <w:szCs w:val="24"/>
        </w:rPr>
        <w:t>3.现场测评阶段：按照等级保护相关标准规范要求从访谈、检查、测试几方面进行测试评估并出具《整改意见》，并在整改过程中提供技术咨询服务。</w:t>
      </w:r>
    </w:p>
    <w:p>
      <w:pPr>
        <w:spacing w:line="360" w:lineRule="auto"/>
        <w:ind w:firstLine="480" w:firstLineChars="200"/>
        <w:rPr>
          <w:rFonts w:ascii="宋体" w:hAnsi="宋体"/>
          <w:sz w:val="24"/>
          <w:szCs w:val="24"/>
        </w:rPr>
      </w:pPr>
      <w:r>
        <w:rPr>
          <w:rFonts w:hint="eastAsia" w:ascii="宋体" w:hAnsi="宋体"/>
          <w:sz w:val="24"/>
          <w:szCs w:val="24"/>
        </w:rPr>
        <w:t>4.分析与报告编制：向委托方提交被测信息系统安全等级保护测评报告以及相应文档。</w:t>
      </w:r>
    </w:p>
    <w:p>
      <w:pPr>
        <w:spacing w:line="360" w:lineRule="auto"/>
        <w:rPr>
          <w:rFonts w:ascii="宋体" w:hAnsi="宋体"/>
          <w:b/>
          <w:sz w:val="24"/>
          <w:szCs w:val="24"/>
        </w:rPr>
      </w:pPr>
      <w:r>
        <w:rPr>
          <w:rFonts w:hint="eastAsia" w:ascii="宋体" w:hAnsi="宋体"/>
          <w:b/>
          <w:sz w:val="24"/>
          <w:szCs w:val="24"/>
        </w:rPr>
        <w:t>五：实施要求</w:t>
      </w:r>
    </w:p>
    <w:p>
      <w:pPr>
        <w:spacing w:line="360" w:lineRule="auto"/>
        <w:ind w:firstLine="480" w:firstLineChars="200"/>
        <w:rPr>
          <w:rFonts w:ascii="宋体" w:hAnsi="宋体"/>
          <w:sz w:val="24"/>
          <w:szCs w:val="24"/>
        </w:rPr>
      </w:pPr>
      <w:r>
        <w:rPr>
          <w:rFonts w:hint="eastAsia" w:ascii="宋体" w:hAnsi="宋体"/>
          <w:sz w:val="24"/>
          <w:szCs w:val="24"/>
        </w:rPr>
        <w:t>1．系统梳理</w:t>
      </w:r>
    </w:p>
    <w:p>
      <w:pPr>
        <w:spacing w:line="360" w:lineRule="auto"/>
        <w:ind w:firstLine="480" w:firstLineChars="200"/>
        <w:rPr>
          <w:rFonts w:ascii="宋体" w:hAnsi="宋体"/>
          <w:sz w:val="24"/>
          <w:szCs w:val="24"/>
        </w:rPr>
      </w:pPr>
      <w:r>
        <w:rPr>
          <w:rFonts w:hint="eastAsia" w:ascii="宋体" w:hAnsi="宋体"/>
          <w:sz w:val="24"/>
          <w:szCs w:val="24"/>
        </w:rPr>
        <w:t>协助完成待测信息系统梳理工作。</w:t>
      </w:r>
    </w:p>
    <w:p>
      <w:pPr>
        <w:spacing w:line="360" w:lineRule="auto"/>
        <w:ind w:firstLine="480" w:firstLineChars="200"/>
        <w:rPr>
          <w:rFonts w:ascii="宋体" w:hAnsi="宋体"/>
          <w:sz w:val="24"/>
          <w:szCs w:val="24"/>
        </w:rPr>
      </w:pPr>
      <w:r>
        <w:rPr>
          <w:rFonts w:hint="eastAsia" w:ascii="宋体" w:hAnsi="宋体"/>
          <w:sz w:val="24"/>
          <w:szCs w:val="24"/>
        </w:rPr>
        <w:t>2．初测</w:t>
      </w:r>
    </w:p>
    <w:p>
      <w:pPr>
        <w:spacing w:line="360" w:lineRule="auto"/>
        <w:ind w:firstLine="480" w:firstLineChars="200"/>
        <w:rPr>
          <w:rFonts w:ascii="宋体" w:hAnsi="宋体"/>
          <w:sz w:val="24"/>
          <w:szCs w:val="24"/>
        </w:rPr>
      </w:pPr>
      <w:r>
        <w:rPr>
          <w:rFonts w:hint="eastAsia" w:ascii="宋体" w:hAnsi="宋体"/>
          <w:sz w:val="24"/>
          <w:szCs w:val="24"/>
        </w:rPr>
        <w:t>对本项目所涉及信息系统进行现场测评，初次测评完成后提交初评的整改意见报告。</w:t>
      </w:r>
    </w:p>
    <w:p>
      <w:pPr>
        <w:spacing w:line="360" w:lineRule="auto"/>
        <w:ind w:firstLine="480" w:firstLineChars="200"/>
        <w:rPr>
          <w:rFonts w:ascii="宋体" w:hAnsi="宋体"/>
          <w:sz w:val="24"/>
          <w:szCs w:val="24"/>
        </w:rPr>
      </w:pPr>
      <w:r>
        <w:rPr>
          <w:rFonts w:hint="eastAsia" w:ascii="宋体" w:hAnsi="宋体"/>
          <w:sz w:val="24"/>
          <w:szCs w:val="24"/>
        </w:rPr>
        <w:t>3．整改加固协助</w:t>
      </w:r>
    </w:p>
    <w:p>
      <w:pPr>
        <w:spacing w:line="360" w:lineRule="auto"/>
        <w:ind w:firstLine="480" w:firstLineChars="200"/>
        <w:rPr>
          <w:rFonts w:ascii="宋体" w:hAnsi="宋体"/>
          <w:sz w:val="24"/>
          <w:szCs w:val="24"/>
        </w:rPr>
      </w:pPr>
      <w:r>
        <w:rPr>
          <w:rFonts w:hint="eastAsia" w:ascii="宋体" w:hAnsi="宋体"/>
          <w:sz w:val="24"/>
          <w:szCs w:val="24"/>
        </w:rPr>
        <w:t>协助对测评过程中发现的安全问题进行技术整改加固工作，并进行整改后的回归测评。</w:t>
      </w:r>
    </w:p>
    <w:p>
      <w:pPr>
        <w:spacing w:line="360" w:lineRule="auto"/>
        <w:ind w:firstLine="480" w:firstLineChars="200"/>
        <w:rPr>
          <w:rFonts w:ascii="宋体" w:hAnsi="宋体"/>
          <w:sz w:val="24"/>
          <w:szCs w:val="24"/>
        </w:rPr>
      </w:pPr>
      <w:r>
        <w:rPr>
          <w:rFonts w:hint="eastAsia" w:ascii="宋体" w:hAnsi="宋体"/>
          <w:sz w:val="24"/>
          <w:szCs w:val="24"/>
        </w:rPr>
        <w:t>4．成果递交</w:t>
      </w:r>
    </w:p>
    <w:p>
      <w:pPr>
        <w:spacing w:line="360" w:lineRule="auto"/>
        <w:ind w:firstLine="480" w:firstLineChars="200"/>
        <w:rPr>
          <w:rFonts w:ascii="宋体" w:hAnsi="宋体"/>
          <w:sz w:val="24"/>
          <w:szCs w:val="24"/>
        </w:rPr>
      </w:pPr>
      <w:r>
        <w:rPr>
          <w:rFonts w:hint="eastAsia" w:ascii="宋体" w:hAnsi="宋体"/>
          <w:sz w:val="24"/>
          <w:szCs w:val="24"/>
        </w:rPr>
        <w:t>整理测评结果，提交被测信息系统安全等级保护测评报告以及相应文档。</w:t>
      </w:r>
    </w:p>
    <w:p>
      <w:pPr>
        <w:spacing w:line="360" w:lineRule="auto"/>
        <w:ind w:firstLine="480" w:firstLineChars="200"/>
        <w:rPr>
          <w:rFonts w:ascii="宋体" w:hAnsi="宋体"/>
          <w:sz w:val="24"/>
          <w:szCs w:val="24"/>
        </w:rPr>
      </w:pPr>
      <w:r>
        <w:rPr>
          <w:rFonts w:hint="eastAsia" w:ascii="宋体" w:hAnsi="宋体"/>
          <w:sz w:val="24"/>
          <w:szCs w:val="24"/>
        </w:rPr>
        <w:t>项目管理与实施保障</w:t>
      </w:r>
    </w:p>
    <w:p>
      <w:pPr>
        <w:spacing w:line="360" w:lineRule="auto"/>
        <w:ind w:firstLine="480" w:firstLineChars="200"/>
        <w:rPr>
          <w:rFonts w:ascii="宋体" w:hAnsi="宋体"/>
          <w:sz w:val="24"/>
          <w:szCs w:val="24"/>
        </w:rPr>
      </w:pPr>
      <w:r>
        <w:rPr>
          <w:rFonts w:hint="eastAsia" w:ascii="宋体" w:hAnsi="宋体"/>
          <w:sz w:val="24"/>
          <w:szCs w:val="24"/>
        </w:rPr>
        <w:t>对项目进行科学严格的管理，通过系统计划、有序组织、科学指导和有效控制，促进项目全面顺利实施，供应商必须提供完整的项目管理方案，并符合以下要求：</w:t>
      </w:r>
    </w:p>
    <w:p>
      <w:pPr>
        <w:spacing w:line="360" w:lineRule="auto"/>
        <w:ind w:firstLine="480" w:firstLineChars="200"/>
        <w:rPr>
          <w:rFonts w:ascii="宋体" w:hAnsi="宋体"/>
          <w:sz w:val="24"/>
          <w:szCs w:val="24"/>
        </w:rPr>
      </w:pPr>
      <w:r>
        <w:rPr>
          <w:rFonts w:hint="eastAsia" w:ascii="宋体" w:hAnsi="宋体"/>
          <w:sz w:val="24"/>
          <w:szCs w:val="24"/>
        </w:rPr>
        <w:t>1．供应商及其测评人员应当严格执行有关国家信息安全等级保护相关标准和有关规定，提供客观、公平、公正、有效的等级保护测评服务，并承担相应的法律责任。</w:t>
      </w:r>
    </w:p>
    <w:p>
      <w:pPr>
        <w:spacing w:line="360" w:lineRule="auto"/>
        <w:ind w:firstLine="480" w:firstLineChars="200"/>
        <w:rPr>
          <w:rFonts w:ascii="宋体" w:hAnsi="宋体"/>
          <w:sz w:val="24"/>
          <w:szCs w:val="24"/>
        </w:rPr>
      </w:pPr>
      <w:r>
        <w:rPr>
          <w:rFonts w:hint="eastAsia" w:ascii="宋体" w:hAnsi="宋体"/>
          <w:sz w:val="24"/>
          <w:szCs w:val="24"/>
        </w:rPr>
        <w:t>2．应具备能够保证其公正性、独立性的质量体系，确保测评活动不受任何可能影响测评结果的商业、财务、健康、环境等方面的压力。</w:t>
      </w:r>
    </w:p>
    <w:p>
      <w:pPr>
        <w:spacing w:line="360" w:lineRule="auto"/>
        <w:ind w:firstLine="480" w:firstLineChars="200"/>
        <w:rPr>
          <w:rFonts w:ascii="宋体" w:hAnsi="宋体"/>
          <w:sz w:val="24"/>
          <w:szCs w:val="24"/>
        </w:rPr>
      </w:pPr>
      <w:r>
        <w:rPr>
          <w:rFonts w:hint="eastAsia" w:ascii="宋体" w:hAnsi="宋体"/>
          <w:sz w:val="24"/>
          <w:szCs w:val="24"/>
        </w:rPr>
        <w:t>3．供应商在对被测评单位开展等级保护测评服务之前需与被测评单位签订保密协议，测评过程中向被测评单位借阅的文档资料应在测评工作结束后全部归还被测评单位，未经被测评单位允许，不得擅自复制、保留。</w:t>
      </w:r>
    </w:p>
    <w:p>
      <w:pPr>
        <w:spacing w:line="360" w:lineRule="auto"/>
        <w:ind w:firstLine="480" w:firstLineChars="200"/>
        <w:rPr>
          <w:rFonts w:ascii="宋体" w:hAnsi="宋体"/>
          <w:sz w:val="24"/>
          <w:szCs w:val="24"/>
        </w:rPr>
      </w:pPr>
      <w:r>
        <w:rPr>
          <w:rFonts w:hint="eastAsia" w:ascii="宋体" w:hAnsi="宋体"/>
          <w:sz w:val="24"/>
          <w:szCs w:val="24"/>
        </w:rPr>
        <w:t>4．供应商的岗位配置要至少配置项目经理（或总测评师）、技术负责人、质量负责人、保密安全员和档案管理员，其中项目经理（或总测评师）、技术负责人、质量负责人、保密安全员和档案管理员应独立配置，不能有兼任的情况。</w:t>
      </w:r>
    </w:p>
    <w:p>
      <w:pPr>
        <w:spacing w:line="360" w:lineRule="auto"/>
        <w:ind w:firstLine="480" w:firstLineChars="200"/>
        <w:rPr>
          <w:rFonts w:ascii="宋体" w:hAnsi="宋体"/>
          <w:sz w:val="24"/>
          <w:szCs w:val="24"/>
        </w:rPr>
      </w:pPr>
      <w:r>
        <w:rPr>
          <w:rFonts w:hint="eastAsia" w:ascii="宋体" w:hAnsi="宋体"/>
          <w:sz w:val="24"/>
          <w:szCs w:val="24"/>
        </w:rPr>
        <w:t>5．测评人员要求</w:t>
      </w:r>
    </w:p>
    <w:p>
      <w:pPr>
        <w:spacing w:line="360" w:lineRule="auto"/>
        <w:ind w:firstLine="480" w:firstLineChars="200"/>
        <w:rPr>
          <w:rFonts w:ascii="宋体" w:hAnsi="宋体"/>
          <w:sz w:val="24"/>
          <w:szCs w:val="24"/>
        </w:rPr>
      </w:pPr>
      <w:r>
        <w:rPr>
          <w:rFonts w:hint="eastAsia" w:ascii="宋体" w:hAnsi="宋体"/>
          <w:sz w:val="24"/>
          <w:szCs w:val="24"/>
        </w:rPr>
        <w:t>参与此次等级保护测评的供应商其测评人员应具备并符合以下要求：</w:t>
      </w:r>
    </w:p>
    <w:p>
      <w:pPr>
        <w:spacing w:line="360" w:lineRule="auto"/>
        <w:ind w:firstLine="480" w:firstLineChars="200"/>
        <w:rPr>
          <w:rFonts w:ascii="宋体" w:hAnsi="宋体"/>
          <w:sz w:val="24"/>
          <w:szCs w:val="24"/>
        </w:rPr>
      </w:pPr>
      <w:r>
        <w:rPr>
          <w:rFonts w:hint="eastAsia" w:ascii="宋体" w:hAnsi="宋体"/>
          <w:sz w:val="24"/>
          <w:szCs w:val="24"/>
        </w:rPr>
        <w:t>（1）开展此次等级保护测评工作的人员仅限于中华人民共和国境内的中国公民，且无犯罪记录。</w:t>
      </w:r>
    </w:p>
    <w:p>
      <w:pPr>
        <w:spacing w:line="360" w:lineRule="auto"/>
        <w:ind w:firstLine="480" w:firstLineChars="200"/>
        <w:rPr>
          <w:rFonts w:ascii="宋体" w:hAnsi="宋体"/>
          <w:sz w:val="24"/>
          <w:szCs w:val="24"/>
        </w:rPr>
      </w:pPr>
      <w:r>
        <w:rPr>
          <w:rFonts w:hint="eastAsia" w:ascii="宋体" w:hAnsi="宋体"/>
          <w:sz w:val="24"/>
          <w:szCs w:val="24"/>
        </w:rPr>
        <w:t>（2）开展此次等级保护测评工作的人员应具备从事信息系统安全测评相关工作三年以上工作经验，开展等级保护测评工作不少于一年，参与同类行业信息安全测评项目。</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）针对软件、网络、云安全等方面的测评技术人员除具有信息安全等级保护测评师证书以外，还应该持有相关技术资格证书。</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）测评项目组人员在对开展等级保护测评工作之前需签订保密协议。</w:t>
      </w:r>
    </w:p>
    <w:p>
      <w:pPr>
        <w:spacing w:line="360" w:lineRule="auto"/>
        <w:ind w:firstLine="480" w:firstLineChars="200"/>
        <w:rPr>
          <w:rFonts w:ascii="宋体" w:hAnsi="宋体"/>
          <w:sz w:val="24"/>
          <w:szCs w:val="24"/>
        </w:rPr>
      </w:pPr>
      <w:r>
        <w:rPr>
          <w:rFonts w:hint="eastAsia" w:ascii="宋体" w:hAnsi="宋体"/>
          <w:sz w:val="24"/>
          <w:szCs w:val="24"/>
        </w:rPr>
        <w:t>6．测评工具要求</w:t>
      </w:r>
    </w:p>
    <w:p>
      <w:pPr>
        <w:spacing w:line="360" w:lineRule="auto"/>
        <w:ind w:firstLine="480" w:firstLineChars="200"/>
        <w:rPr>
          <w:rFonts w:ascii="宋体" w:hAnsi="宋体"/>
          <w:sz w:val="24"/>
          <w:szCs w:val="24"/>
        </w:rPr>
      </w:pPr>
      <w:r>
        <w:rPr>
          <w:rFonts w:hint="eastAsia" w:ascii="宋体" w:hAnsi="宋体"/>
          <w:sz w:val="24"/>
          <w:szCs w:val="24"/>
        </w:rPr>
        <w:t>（1） 采用的测评工具必须获得正版授权，并在有效期内，不得使用盗版软件。</w:t>
      </w:r>
    </w:p>
    <w:p>
      <w:pPr>
        <w:spacing w:line="360" w:lineRule="auto"/>
        <w:ind w:firstLine="480" w:firstLineChars="200"/>
        <w:rPr>
          <w:rFonts w:ascii="宋体" w:hAnsi="宋体"/>
          <w:sz w:val="24"/>
          <w:szCs w:val="24"/>
        </w:rPr>
      </w:pPr>
      <w:r>
        <w:rPr>
          <w:rFonts w:hint="eastAsia" w:ascii="宋体" w:hAnsi="宋体"/>
          <w:sz w:val="24"/>
          <w:szCs w:val="24"/>
        </w:rPr>
        <w:t>（2）采用的测评工具在功能、性能等满足使用要求前提下，应优先采用具有国内自主知识产权的同类产品。</w:t>
      </w:r>
    </w:p>
    <w:p>
      <w:pPr>
        <w:spacing w:line="360" w:lineRule="auto"/>
        <w:ind w:firstLine="480" w:firstLineChars="200"/>
        <w:rPr>
          <w:rFonts w:ascii="宋体" w:hAnsi="宋体"/>
          <w:sz w:val="24"/>
          <w:szCs w:val="24"/>
        </w:rPr>
      </w:pPr>
      <w:r>
        <w:rPr>
          <w:rFonts w:hint="eastAsia" w:ascii="宋体" w:hAnsi="宋体"/>
          <w:sz w:val="24"/>
          <w:szCs w:val="24"/>
        </w:rPr>
        <w:t>（3）采用的测评工具的生产商应为正规厂商，具有一定的研发和服务能力，能够对产品进行持续更新并提供质量和安全保障。</w:t>
      </w:r>
    </w:p>
    <w:p>
      <w:pPr>
        <w:spacing w:line="360" w:lineRule="auto"/>
        <w:ind w:firstLine="480" w:firstLineChars="200"/>
        <w:rPr>
          <w:rFonts w:ascii="宋体" w:hAnsi="宋体"/>
          <w:sz w:val="24"/>
          <w:szCs w:val="24"/>
        </w:rPr>
      </w:pPr>
      <w:r>
        <w:rPr>
          <w:rFonts w:hint="eastAsia" w:ascii="宋体" w:hAnsi="宋体"/>
          <w:sz w:val="24"/>
          <w:szCs w:val="24"/>
        </w:rPr>
        <w:t>（4）测评机构所使用的测评工具不会对系统产生破坏或负面影响。</w:t>
      </w:r>
    </w:p>
    <w:p>
      <w:pPr>
        <w:spacing w:line="360" w:lineRule="auto"/>
        <w:ind w:firstLine="480" w:firstLineChars="200"/>
        <w:rPr>
          <w:rFonts w:ascii="宋体" w:hAnsi="宋体"/>
          <w:sz w:val="24"/>
          <w:szCs w:val="24"/>
        </w:rPr>
      </w:pPr>
      <w:r>
        <w:rPr>
          <w:rFonts w:hint="eastAsia" w:ascii="宋体" w:hAnsi="宋体"/>
          <w:sz w:val="24"/>
          <w:szCs w:val="24"/>
        </w:rPr>
        <w:t>7．由于测评工作存在一定的风险，包括但不限于：数据丢失、配置参数丢失、网络中断、服务中断等隐患，供应商应当充分识别测评工作可能带来的风险并告知委托方，委托方应当就测评工作存在潜在风险采取必要措施进行确认后方可开展测评。</w:t>
      </w:r>
    </w:p>
    <w:p>
      <w:pPr>
        <w:spacing w:line="360" w:lineRule="auto"/>
        <w:rPr>
          <w:rFonts w:ascii="宋体" w:hAnsi="宋体"/>
          <w:b/>
          <w:sz w:val="24"/>
          <w:szCs w:val="24"/>
        </w:rPr>
      </w:pPr>
      <w:r>
        <w:rPr>
          <w:rFonts w:hint="eastAsia" w:ascii="宋体" w:hAnsi="宋体"/>
          <w:b/>
          <w:sz w:val="24"/>
          <w:szCs w:val="24"/>
        </w:rPr>
        <w:t>六：商务要求</w:t>
      </w:r>
    </w:p>
    <w:p>
      <w:pPr>
        <w:spacing w:line="360" w:lineRule="auto"/>
        <w:ind w:firstLine="480" w:firstLineChars="200"/>
        <w:rPr>
          <w:rFonts w:ascii="宋体" w:hAnsi="宋体"/>
          <w:sz w:val="24"/>
          <w:szCs w:val="24"/>
        </w:rPr>
      </w:pPr>
      <w:r>
        <w:rPr>
          <w:rFonts w:hint="eastAsia" w:ascii="宋体" w:hAnsi="宋体"/>
          <w:sz w:val="24"/>
          <w:szCs w:val="24"/>
        </w:rPr>
        <w:t>1.双方签订合同后1</w:t>
      </w:r>
      <w:r>
        <w:rPr>
          <w:rFonts w:ascii="宋体" w:hAnsi="宋体"/>
          <w:sz w:val="24"/>
          <w:szCs w:val="24"/>
        </w:rPr>
        <w:t>0</w:t>
      </w:r>
      <w:r>
        <w:rPr>
          <w:rFonts w:hint="eastAsia" w:ascii="宋体" w:hAnsi="宋体"/>
          <w:sz w:val="24"/>
          <w:szCs w:val="24"/>
        </w:rPr>
        <w:t>个工作日内，甲方向乙方支付合同总价款的</w:t>
      </w:r>
      <w:r>
        <w:rPr>
          <w:rFonts w:hint="eastAsia" w:ascii="宋体" w:hAnsi="宋体"/>
          <w:sz w:val="24"/>
          <w:szCs w:val="24"/>
          <w:u w:val="single"/>
        </w:rPr>
        <w:t xml:space="preserve">  50% </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2.甲方在收到乙方出具的《信息系统安全等级保护测评报告》后五个工作日内，支付余下合同款。</w:t>
      </w:r>
    </w:p>
    <w:p>
      <w:pPr>
        <w:spacing w:line="360" w:lineRule="auto"/>
        <w:ind w:firstLine="480" w:firstLineChars="200"/>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七：评分要求</w:t>
      </w:r>
    </w:p>
    <w:tbl>
      <w:tblPr>
        <w:tblStyle w:val="15"/>
        <w:tblW w:w="995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5"/>
        <w:gridCol w:w="815"/>
        <w:gridCol w:w="567"/>
        <w:gridCol w:w="709"/>
        <w:gridCol w:w="70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15" w:type="dxa"/>
            <w:vAlign w:val="center"/>
          </w:tcPr>
          <w:p>
            <w:pPr>
              <w:spacing w:line="360" w:lineRule="auto"/>
              <w:jc w:val="center"/>
              <w:rPr>
                <w:rFonts w:ascii="宋体" w:hAnsi="宋体"/>
                <w:b/>
                <w:sz w:val="24"/>
                <w:szCs w:val="24"/>
              </w:rPr>
            </w:pPr>
            <w:r>
              <w:rPr>
                <w:rFonts w:hint="eastAsia" w:ascii="宋体" w:hAnsi="宋体"/>
                <w:b/>
                <w:sz w:val="24"/>
                <w:szCs w:val="24"/>
              </w:rPr>
              <w:t>序号</w:t>
            </w:r>
          </w:p>
        </w:tc>
        <w:tc>
          <w:tcPr>
            <w:tcW w:w="815" w:type="dxa"/>
            <w:vAlign w:val="center"/>
          </w:tcPr>
          <w:p>
            <w:pPr>
              <w:spacing w:line="360" w:lineRule="auto"/>
              <w:jc w:val="center"/>
              <w:rPr>
                <w:rFonts w:ascii="宋体" w:hAnsi="宋体"/>
                <w:b/>
                <w:sz w:val="24"/>
                <w:szCs w:val="24"/>
              </w:rPr>
            </w:pPr>
            <w:r>
              <w:rPr>
                <w:rFonts w:hint="eastAsia" w:ascii="宋体" w:hAnsi="宋体"/>
                <w:b/>
                <w:sz w:val="24"/>
                <w:szCs w:val="24"/>
              </w:rPr>
              <w:t>评分项目</w:t>
            </w:r>
          </w:p>
        </w:tc>
        <w:tc>
          <w:tcPr>
            <w:tcW w:w="567" w:type="dxa"/>
            <w:vAlign w:val="center"/>
          </w:tcPr>
          <w:p>
            <w:pPr>
              <w:spacing w:line="360" w:lineRule="auto"/>
              <w:jc w:val="center"/>
              <w:rPr>
                <w:rFonts w:ascii="宋体" w:hAnsi="宋体"/>
                <w:b/>
                <w:sz w:val="24"/>
                <w:szCs w:val="24"/>
              </w:rPr>
            </w:pPr>
            <w:r>
              <w:rPr>
                <w:rFonts w:hint="eastAsia" w:ascii="宋体" w:hAnsi="宋体"/>
                <w:b/>
                <w:sz w:val="24"/>
                <w:szCs w:val="24"/>
              </w:rPr>
              <w:t>分值</w:t>
            </w:r>
          </w:p>
        </w:tc>
        <w:tc>
          <w:tcPr>
            <w:tcW w:w="7754" w:type="dxa"/>
            <w:gridSpan w:val="2"/>
            <w:vAlign w:val="center"/>
          </w:tcPr>
          <w:p>
            <w:pPr>
              <w:spacing w:line="360" w:lineRule="auto"/>
              <w:jc w:val="center"/>
              <w:rPr>
                <w:rFonts w:ascii="宋体" w:hAnsi="宋体"/>
                <w:b/>
                <w:sz w:val="24"/>
                <w:szCs w:val="24"/>
              </w:rPr>
            </w:pPr>
            <w:r>
              <w:rPr>
                <w:rFonts w:hint="eastAsia" w:ascii="宋体" w:hAnsi="宋体"/>
                <w:b/>
                <w:sz w:val="24"/>
                <w:szCs w:val="24"/>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15"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815" w:type="dxa"/>
            <w:vAlign w:val="center"/>
          </w:tcPr>
          <w:p>
            <w:pPr>
              <w:spacing w:line="360" w:lineRule="auto"/>
              <w:jc w:val="center"/>
              <w:rPr>
                <w:rFonts w:ascii="宋体" w:hAnsi="宋体"/>
                <w:sz w:val="24"/>
                <w:szCs w:val="24"/>
              </w:rPr>
            </w:pPr>
            <w:r>
              <w:rPr>
                <w:rFonts w:hint="eastAsia" w:ascii="宋体" w:hAnsi="宋体"/>
                <w:sz w:val="24"/>
                <w:szCs w:val="24"/>
              </w:rPr>
              <w:t>报价</w:t>
            </w:r>
          </w:p>
        </w:tc>
        <w:tc>
          <w:tcPr>
            <w:tcW w:w="567" w:type="dxa"/>
            <w:vAlign w:val="center"/>
          </w:tcPr>
          <w:p>
            <w:pPr>
              <w:spacing w:line="360" w:lineRule="auto"/>
              <w:rPr>
                <w:rFonts w:ascii="宋体" w:hAnsi="宋体"/>
                <w:sz w:val="24"/>
                <w:szCs w:val="24"/>
              </w:rPr>
            </w:pPr>
            <w:r>
              <w:rPr>
                <w:rFonts w:hint="eastAsia" w:ascii="宋体" w:hAnsi="宋体"/>
                <w:sz w:val="24"/>
                <w:szCs w:val="24"/>
              </w:rPr>
              <w:t>10</w:t>
            </w:r>
          </w:p>
        </w:tc>
        <w:tc>
          <w:tcPr>
            <w:tcW w:w="7754" w:type="dxa"/>
            <w:gridSpan w:val="2"/>
            <w:vAlign w:val="center"/>
          </w:tcPr>
          <w:p>
            <w:pPr>
              <w:spacing w:line="360" w:lineRule="auto"/>
              <w:rPr>
                <w:rFonts w:ascii="宋体" w:hAnsi="宋体"/>
                <w:sz w:val="24"/>
                <w:szCs w:val="24"/>
              </w:rPr>
            </w:pPr>
            <w:r>
              <w:rPr>
                <w:rFonts w:hint="eastAsia" w:ascii="宋体" w:hAnsi="宋体"/>
                <w:sz w:val="24"/>
                <w:szCs w:val="24"/>
              </w:rPr>
              <w:t>经评审有效报价的最低价作为评标基准价，投标报价得分=(评标基准价／投标报价)×10。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15"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815" w:type="dxa"/>
            <w:vAlign w:val="center"/>
          </w:tcPr>
          <w:p>
            <w:pPr>
              <w:spacing w:line="360" w:lineRule="auto"/>
              <w:rPr>
                <w:rFonts w:ascii="宋体" w:hAnsi="宋体"/>
                <w:sz w:val="24"/>
                <w:szCs w:val="24"/>
              </w:rPr>
            </w:pPr>
            <w:r>
              <w:rPr>
                <w:rFonts w:hint="eastAsia" w:ascii="宋体" w:hAnsi="宋体"/>
                <w:sz w:val="24"/>
                <w:szCs w:val="24"/>
              </w:rPr>
              <w:t>信誉及能力</w:t>
            </w:r>
          </w:p>
        </w:tc>
        <w:tc>
          <w:tcPr>
            <w:tcW w:w="567" w:type="dxa"/>
            <w:vAlign w:val="center"/>
          </w:tcPr>
          <w:p>
            <w:pPr>
              <w:spacing w:line="360" w:lineRule="auto"/>
              <w:rPr>
                <w:rFonts w:ascii="宋体" w:hAnsi="宋体"/>
                <w:sz w:val="24"/>
                <w:szCs w:val="24"/>
              </w:rPr>
            </w:pPr>
            <w:r>
              <w:rPr>
                <w:rFonts w:ascii="宋体" w:hAnsi="宋体"/>
                <w:sz w:val="24"/>
                <w:szCs w:val="24"/>
              </w:rPr>
              <w:t>25</w:t>
            </w:r>
          </w:p>
        </w:tc>
        <w:tc>
          <w:tcPr>
            <w:tcW w:w="7754" w:type="dxa"/>
            <w:gridSpan w:val="2"/>
            <w:vAlign w:val="center"/>
          </w:tcPr>
          <w:p>
            <w:pPr>
              <w:spacing w:line="360" w:lineRule="auto"/>
              <w:rPr>
                <w:rFonts w:ascii="宋体" w:hAnsi="宋体"/>
                <w:sz w:val="24"/>
                <w:szCs w:val="24"/>
              </w:rPr>
            </w:pPr>
            <w:r>
              <w:rPr>
                <w:rFonts w:hint="eastAsia" w:ascii="宋体" w:hAnsi="宋体"/>
                <w:sz w:val="24"/>
                <w:szCs w:val="24"/>
              </w:rPr>
              <w:t>1．具有中国网络安全审查技术与认证中心颁发的信息安全风险评估服务资质二级及以上的得5分、三级的得2分；</w:t>
            </w:r>
          </w:p>
          <w:p>
            <w:pPr>
              <w:spacing w:line="360" w:lineRule="auto"/>
              <w:rPr>
                <w:rFonts w:ascii="宋体" w:hAnsi="宋体"/>
                <w:sz w:val="24"/>
                <w:szCs w:val="24"/>
              </w:rPr>
            </w:pPr>
            <w:r>
              <w:rPr>
                <w:rFonts w:ascii="宋体" w:hAnsi="宋体"/>
                <w:sz w:val="24"/>
                <w:szCs w:val="24"/>
              </w:rPr>
              <w:t>2.</w:t>
            </w:r>
            <w:r>
              <w:rPr>
                <w:rFonts w:hint="eastAsia" w:ascii="宋体" w:hAnsi="宋体"/>
                <w:sz w:val="24"/>
                <w:szCs w:val="24"/>
              </w:rPr>
              <w:t>I</w:t>
            </w:r>
            <w:r>
              <w:rPr>
                <w:rFonts w:ascii="宋体" w:hAnsi="宋体"/>
                <w:sz w:val="24"/>
                <w:szCs w:val="24"/>
              </w:rPr>
              <w:t>SO/IEC20000</w:t>
            </w:r>
            <w:r>
              <w:rPr>
                <w:rFonts w:hint="eastAsia" w:ascii="宋体" w:hAnsi="宋体"/>
                <w:sz w:val="24"/>
                <w:szCs w:val="24"/>
              </w:rPr>
              <w:t>信息技术服务管理体系认证证书、I</w:t>
            </w:r>
            <w:r>
              <w:rPr>
                <w:rFonts w:ascii="宋体" w:hAnsi="宋体"/>
                <w:sz w:val="24"/>
                <w:szCs w:val="24"/>
              </w:rPr>
              <w:t>SO/IEC27001</w:t>
            </w:r>
            <w:r>
              <w:rPr>
                <w:rFonts w:hint="eastAsia" w:ascii="宋体" w:hAnsi="宋体"/>
                <w:sz w:val="24"/>
                <w:szCs w:val="24"/>
              </w:rPr>
              <w:t>信息安全管理体系认证证书（证书认证范围包含信息系统测评）的每项证书得2.</w:t>
            </w:r>
            <w:r>
              <w:rPr>
                <w:rFonts w:ascii="宋体" w:hAnsi="宋体"/>
                <w:sz w:val="24"/>
                <w:szCs w:val="24"/>
              </w:rPr>
              <w:t>5</w:t>
            </w:r>
            <w:r>
              <w:rPr>
                <w:rFonts w:hint="eastAsia" w:ascii="宋体" w:hAnsi="宋体"/>
                <w:sz w:val="24"/>
                <w:szCs w:val="24"/>
              </w:rPr>
              <w:t>分，最多得</w:t>
            </w:r>
            <w:r>
              <w:rPr>
                <w:rFonts w:ascii="宋体" w:hAnsi="宋体"/>
                <w:sz w:val="24"/>
                <w:szCs w:val="24"/>
              </w:rPr>
              <w:t>5</w:t>
            </w:r>
            <w:r>
              <w:rPr>
                <w:rFonts w:hint="eastAsia" w:ascii="宋体" w:hAnsi="宋体"/>
                <w:sz w:val="24"/>
                <w:szCs w:val="24"/>
              </w:rPr>
              <w:t>分；</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w:t>
            </w:r>
            <w:bookmarkStart w:id="3" w:name="_Hlk481592935"/>
            <w:r>
              <w:rPr>
                <w:rFonts w:hint="eastAsia" w:ascii="宋体" w:hAnsi="宋体"/>
                <w:sz w:val="24"/>
                <w:szCs w:val="24"/>
              </w:rPr>
              <w:t>具</w:t>
            </w:r>
            <w:r>
              <w:rPr>
                <w:rFonts w:ascii="宋体" w:hAnsi="宋体"/>
                <w:sz w:val="24"/>
                <w:szCs w:val="24"/>
              </w:rPr>
              <w:t>有</w:t>
            </w:r>
            <w:r>
              <w:rPr>
                <w:rFonts w:hint="eastAsia" w:ascii="宋体" w:hAnsi="宋体"/>
                <w:sz w:val="24"/>
                <w:szCs w:val="24"/>
              </w:rPr>
              <w:t>省级或省级以上质量技术监督部门颁发的检验检测机构资质认定证书</w:t>
            </w:r>
            <w:bookmarkEnd w:id="3"/>
            <w:bookmarkStart w:id="4" w:name="_Hlk481592956"/>
            <w:bookmarkStart w:id="5" w:name="_Hlk536540439"/>
            <w:r>
              <w:rPr>
                <w:rFonts w:hint="eastAsia" w:ascii="宋体" w:hAnsi="宋体"/>
                <w:sz w:val="24"/>
                <w:szCs w:val="24"/>
              </w:rPr>
              <w:t>（证书认可范围包含：软件产品）</w:t>
            </w:r>
            <w:bookmarkEnd w:id="4"/>
            <w:bookmarkEnd w:id="5"/>
            <w:r>
              <w:rPr>
                <w:rFonts w:hint="eastAsia" w:ascii="宋体" w:hAnsi="宋体"/>
                <w:sz w:val="24"/>
                <w:szCs w:val="24"/>
              </w:rPr>
              <w:t>的得5分；</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w:t>
            </w:r>
            <w:bookmarkStart w:id="6" w:name="_Hlk481593162"/>
            <w:r>
              <w:rPr>
                <w:rFonts w:ascii="宋体" w:hAnsi="宋体"/>
                <w:sz w:val="24"/>
                <w:szCs w:val="24"/>
              </w:rPr>
              <w:t>中国合格评定国家认可委员会（CNAS）颁发的</w:t>
            </w:r>
            <w:r>
              <w:rPr>
                <w:rFonts w:hint="eastAsia" w:ascii="宋体" w:hAnsi="宋体"/>
                <w:sz w:val="24"/>
                <w:szCs w:val="24"/>
              </w:rPr>
              <w:t>实验室</w:t>
            </w:r>
            <w:r>
              <w:rPr>
                <w:rFonts w:ascii="宋体" w:hAnsi="宋体"/>
                <w:sz w:val="24"/>
                <w:szCs w:val="24"/>
              </w:rPr>
              <w:t>认可证书</w:t>
            </w:r>
            <w:r>
              <w:rPr>
                <w:rFonts w:hint="eastAsia" w:ascii="宋体" w:hAnsi="宋体"/>
                <w:sz w:val="24"/>
                <w:szCs w:val="24"/>
              </w:rPr>
              <w:t>（证书认可范围包含：软件产品）的得5分；</w:t>
            </w:r>
          </w:p>
          <w:p>
            <w:pPr>
              <w:spacing w:line="360" w:lineRule="auto"/>
              <w:rPr>
                <w:rFonts w:ascii="宋体" w:hAnsi="宋体" w:cs="仿宋_GB2312"/>
                <w:sz w:val="24"/>
                <w:szCs w:val="24"/>
              </w:rPr>
            </w:pPr>
            <w:r>
              <w:rPr>
                <w:rFonts w:ascii="宋体" w:hAnsi="宋体"/>
                <w:sz w:val="24"/>
                <w:szCs w:val="24"/>
              </w:rPr>
              <w:t>5</w:t>
            </w:r>
            <w:r>
              <w:rPr>
                <w:rFonts w:hint="eastAsia" w:ascii="宋体" w:hAnsi="宋体"/>
                <w:sz w:val="24"/>
                <w:szCs w:val="24"/>
              </w:rPr>
              <w:t>.</w:t>
            </w:r>
            <w:bookmarkEnd w:id="6"/>
            <w:r>
              <w:rPr>
                <w:rFonts w:hint="eastAsia" w:ascii="宋体" w:hAnsi="宋体"/>
                <w:sz w:val="24"/>
                <w:szCs w:val="24"/>
              </w:rPr>
              <w:t>获得过行政主管单位颁发的全国信息安全等级保护测评机构先进单位的得5分。</w:t>
            </w:r>
          </w:p>
          <w:p>
            <w:pPr>
              <w:spacing w:line="360" w:lineRule="auto"/>
              <w:rPr>
                <w:rFonts w:ascii="宋体" w:hAnsi="宋体" w:cs="宋体"/>
                <w:sz w:val="24"/>
                <w:szCs w:val="24"/>
              </w:rPr>
            </w:pPr>
            <w:r>
              <w:rPr>
                <w:rFonts w:hint="eastAsia" w:ascii="宋体" w:hAnsi="宋体" w:cs="宋体"/>
                <w:sz w:val="24"/>
                <w:szCs w:val="24"/>
              </w:rPr>
              <w:t>注：提供各类证书、证明材料复印件加盖单位鲜章。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15" w:type="dxa"/>
            <w:vAlign w:val="center"/>
          </w:tcPr>
          <w:p>
            <w:pPr>
              <w:spacing w:line="360" w:lineRule="auto"/>
              <w:ind w:firstLine="240" w:firstLineChars="100"/>
              <w:rPr>
                <w:rFonts w:ascii="宋体" w:hAnsi="宋体"/>
                <w:sz w:val="24"/>
                <w:szCs w:val="24"/>
              </w:rPr>
            </w:pPr>
            <w:r>
              <w:rPr>
                <w:rFonts w:hint="eastAsia" w:ascii="宋体" w:hAnsi="宋体"/>
                <w:sz w:val="24"/>
                <w:szCs w:val="24"/>
              </w:rPr>
              <w:t>3</w:t>
            </w:r>
          </w:p>
        </w:tc>
        <w:tc>
          <w:tcPr>
            <w:tcW w:w="815" w:type="dxa"/>
            <w:vAlign w:val="center"/>
          </w:tcPr>
          <w:p>
            <w:pPr>
              <w:spacing w:line="360" w:lineRule="auto"/>
              <w:rPr>
                <w:rFonts w:ascii="宋体" w:hAnsi="宋体"/>
                <w:sz w:val="24"/>
                <w:szCs w:val="24"/>
              </w:rPr>
            </w:pPr>
            <w:r>
              <w:rPr>
                <w:rFonts w:hint="eastAsia" w:ascii="宋体" w:hAnsi="宋体"/>
                <w:sz w:val="24"/>
                <w:szCs w:val="24"/>
              </w:rPr>
              <w:t>业绩</w:t>
            </w:r>
          </w:p>
        </w:tc>
        <w:tc>
          <w:tcPr>
            <w:tcW w:w="567" w:type="dxa"/>
            <w:vAlign w:val="center"/>
          </w:tcPr>
          <w:p>
            <w:pPr>
              <w:spacing w:line="360" w:lineRule="auto"/>
              <w:jc w:val="center"/>
              <w:rPr>
                <w:rFonts w:ascii="宋体" w:hAnsi="宋体"/>
                <w:sz w:val="24"/>
                <w:szCs w:val="24"/>
              </w:rPr>
            </w:pPr>
            <w:r>
              <w:rPr>
                <w:rFonts w:ascii="宋体" w:hAnsi="宋体"/>
                <w:sz w:val="24"/>
                <w:szCs w:val="24"/>
              </w:rPr>
              <w:t>10</w:t>
            </w:r>
          </w:p>
        </w:tc>
        <w:tc>
          <w:tcPr>
            <w:tcW w:w="7754" w:type="dxa"/>
            <w:gridSpan w:val="2"/>
            <w:vAlign w:val="center"/>
          </w:tcPr>
          <w:p>
            <w:pPr>
              <w:spacing w:line="360" w:lineRule="auto"/>
              <w:rPr>
                <w:rFonts w:ascii="宋体" w:hAnsi="宋体"/>
                <w:sz w:val="24"/>
                <w:szCs w:val="24"/>
              </w:rPr>
            </w:pPr>
            <w:r>
              <w:rPr>
                <w:rFonts w:hint="eastAsia" w:ascii="宋体" w:hAnsi="宋体"/>
                <w:sz w:val="24"/>
                <w:szCs w:val="24"/>
              </w:rPr>
              <w:t>具有信息安全等级保护测评项目案例的，每有一个得</w:t>
            </w:r>
            <w:r>
              <w:rPr>
                <w:rFonts w:ascii="宋体" w:hAnsi="宋体"/>
                <w:sz w:val="24"/>
                <w:szCs w:val="24"/>
              </w:rPr>
              <w:t>2</w:t>
            </w:r>
            <w:r>
              <w:rPr>
                <w:rFonts w:hint="eastAsia" w:ascii="宋体" w:hAnsi="宋体"/>
                <w:sz w:val="24"/>
                <w:szCs w:val="24"/>
              </w:rPr>
              <w:t>分，最多得</w:t>
            </w:r>
            <w:r>
              <w:rPr>
                <w:rFonts w:ascii="宋体" w:hAnsi="宋体"/>
                <w:sz w:val="24"/>
                <w:szCs w:val="24"/>
              </w:rPr>
              <w:t>10</w:t>
            </w:r>
            <w:r>
              <w:rPr>
                <w:rFonts w:hint="eastAsia" w:ascii="宋体" w:hAnsi="宋体"/>
                <w:sz w:val="24"/>
                <w:szCs w:val="24"/>
              </w:rPr>
              <w:t>分；提供合同复印件加盖单位鲜章。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15" w:type="dxa"/>
            <w:vAlign w:val="center"/>
          </w:tcPr>
          <w:p>
            <w:pPr>
              <w:spacing w:line="360" w:lineRule="auto"/>
              <w:jc w:val="center"/>
              <w:rPr>
                <w:rFonts w:ascii="宋体" w:hAnsi="宋体"/>
                <w:sz w:val="24"/>
                <w:szCs w:val="24"/>
              </w:rPr>
            </w:pPr>
            <w:r>
              <w:rPr>
                <w:rFonts w:hint="eastAsia" w:ascii="宋体" w:hAnsi="宋体"/>
                <w:sz w:val="24"/>
                <w:szCs w:val="24"/>
              </w:rPr>
              <w:t>4</w:t>
            </w:r>
          </w:p>
        </w:tc>
        <w:tc>
          <w:tcPr>
            <w:tcW w:w="815" w:type="dxa"/>
            <w:vMerge w:val="restart"/>
            <w:vAlign w:val="center"/>
          </w:tcPr>
          <w:p>
            <w:pPr>
              <w:spacing w:line="360" w:lineRule="auto"/>
              <w:jc w:val="center"/>
              <w:rPr>
                <w:rFonts w:ascii="宋体" w:hAnsi="宋体"/>
                <w:sz w:val="24"/>
                <w:szCs w:val="24"/>
              </w:rPr>
            </w:pPr>
            <w:r>
              <w:rPr>
                <w:rFonts w:hint="eastAsia" w:ascii="宋体" w:hAnsi="宋体"/>
                <w:sz w:val="24"/>
                <w:szCs w:val="24"/>
              </w:rPr>
              <w:t>投入本项目的专业技术力量</w:t>
            </w:r>
          </w:p>
        </w:tc>
        <w:tc>
          <w:tcPr>
            <w:tcW w:w="567" w:type="dxa"/>
            <w:vMerge w:val="restart"/>
            <w:vAlign w:val="center"/>
          </w:tcPr>
          <w:p>
            <w:pPr>
              <w:spacing w:line="360" w:lineRule="auto"/>
              <w:rPr>
                <w:rFonts w:ascii="宋体" w:hAnsi="宋体"/>
                <w:sz w:val="24"/>
                <w:szCs w:val="24"/>
              </w:rPr>
            </w:pPr>
            <w:r>
              <w:rPr>
                <w:rFonts w:ascii="宋体" w:hAnsi="宋体"/>
                <w:sz w:val="24"/>
                <w:szCs w:val="24"/>
              </w:rPr>
              <w:t>30</w:t>
            </w:r>
          </w:p>
        </w:tc>
        <w:tc>
          <w:tcPr>
            <w:tcW w:w="709" w:type="dxa"/>
            <w:vAlign w:val="center"/>
          </w:tcPr>
          <w:p>
            <w:pPr>
              <w:spacing w:line="360" w:lineRule="auto"/>
              <w:rPr>
                <w:rFonts w:ascii="宋体" w:hAnsi="宋体"/>
                <w:sz w:val="24"/>
                <w:szCs w:val="24"/>
              </w:rPr>
            </w:pPr>
            <w:r>
              <w:rPr>
                <w:rFonts w:hint="eastAsia" w:ascii="宋体" w:hAnsi="宋体"/>
                <w:sz w:val="24"/>
                <w:szCs w:val="24"/>
              </w:rPr>
              <w:t>总评测工程师（</w:t>
            </w:r>
            <w:r>
              <w:rPr>
                <w:rFonts w:ascii="宋体" w:hAnsi="宋体"/>
                <w:sz w:val="24"/>
                <w:szCs w:val="24"/>
              </w:rPr>
              <w:t>8</w:t>
            </w:r>
            <w:r>
              <w:rPr>
                <w:rFonts w:hint="eastAsia" w:ascii="宋体" w:hAnsi="宋体"/>
                <w:sz w:val="24"/>
                <w:szCs w:val="24"/>
              </w:rPr>
              <w:t>）</w:t>
            </w:r>
          </w:p>
        </w:tc>
        <w:tc>
          <w:tcPr>
            <w:tcW w:w="7045" w:type="dxa"/>
            <w:vAlign w:val="center"/>
          </w:tcPr>
          <w:p>
            <w:pPr>
              <w:spacing w:line="360" w:lineRule="auto"/>
              <w:rPr>
                <w:rFonts w:ascii="宋体" w:hAnsi="宋体"/>
                <w:sz w:val="24"/>
                <w:szCs w:val="24"/>
              </w:rPr>
            </w:pPr>
            <w:r>
              <w:rPr>
                <w:rFonts w:hint="eastAsia" w:ascii="宋体" w:hAnsi="宋体"/>
                <w:sz w:val="24"/>
                <w:szCs w:val="24"/>
              </w:rPr>
              <w:t>总测评工程师必须具有“信息安全等级测评师（高级）”证书。</w:t>
            </w:r>
          </w:p>
          <w:p>
            <w:pPr>
              <w:spacing w:line="360" w:lineRule="auto"/>
              <w:rPr>
                <w:rFonts w:ascii="宋体" w:hAnsi="宋体"/>
                <w:sz w:val="24"/>
                <w:szCs w:val="24"/>
              </w:rPr>
            </w:pPr>
            <w:r>
              <w:rPr>
                <w:rFonts w:hint="eastAsia" w:ascii="宋体" w:hAnsi="宋体"/>
                <w:sz w:val="24"/>
                <w:szCs w:val="24"/>
              </w:rPr>
              <w:t>总测评师具有注册信息系统审计师(CISP-A)、信息安全保障人员（CISAW）、软件性能测试高级工程师、注册云安全系统认证专家证书（CCSSP）的每有一个得</w:t>
            </w:r>
            <w:r>
              <w:rPr>
                <w:rFonts w:ascii="宋体" w:hAnsi="宋体"/>
                <w:sz w:val="24"/>
                <w:szCs w:val="24"/>
              </w:rPr>
              <w:t>2</w:t>
            </w:r>
            <w:r>
              <w:rPr>
                <w:rFonts w:hint="eastAsia" w:ascii="宋体" w:hAnsi="宋体"/>
                <w:sz w:val="24"/>
                <w:szCs w:val="24"/>
              </w:rPr>
              <w:t>分,最多得8分。</w:t>
            </w:r>
          </w:p>
          <w:p>
            <w:pPr>
              <w:spacing w:line="360" w:lineRule="auto"/>
              <w:rPr>
                <w:rFonts w:ascii="宋体" w:hAnsi="宋体"/>
                <w:sz w:val="24"/>
                <w:szCs w:val="24"/>
              </w:rPr>
            </w:pPr>
            <w:r>
              <w:rPr>
                <w:rFonts w:hint="eastAsia" w:ascii="宋体" w:hAnsi="宋体" w:cs="宋体"/>
                <w:sz w:val="24"/>
                <w:szCs w:val="24"/>
              </w:rPr>
              <w:t>注：</w:t>
            </w:r>
            <w:r>
              <w:rPr>
                <w:rFonts w:hint="eastAsia" w:ascii="宋体" w:hAnsi="宋体" w:eastAsia="宋体" w:cs="宋体"/>
                <w:sz w:val="24"/>
                <w:szCs w:val="24"/>
              </w:rPr>
              <w:t>须提供相关人员证书复印件及近三个月在供应商单位的在职证明（如社保缴纳证明、纳税证明、工资证明、劳动合同等）复印件，并加盖单位鲜章。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15" w:type="dxa"/>
            <w:vAlign w:val="center"/>
          </w:tcPr>
          <w:p>
            <w:pPr>
              <w:spacing w:line="360" w:lineRule="auto"/>
              <w:jc w:val="center"/>
              <w:rPr>
                <w:rFonts w:ascii="宋体" w:hAnsi="宋体"/>
                <w:sz w:val="24"/>
                <w:szCs w:val="24"/>
              </w:rPr>
            </w:pPr>
            <w:r>
              <w:rPr>
                <w:rFonts w:hint="eastAsia" w:ascii="宋体" w:hAnsi="宋体"/>
                <w:sz w:val="24"/>
                <w:szCs w:val="24"/>
              </w:rPr>
              <w:t>5</w:t>
            </w:r>
          </w:p>
        </w:tc>
        <w:tc>
          <w:tcPr>
            <w:tcW w:w="815" w:type="dxa"/>
            <w:vMerge w:val="continue"/>
            <w:vAlign w:val="center"/>
          </w:tcPr>
          <w:p>
            <w:pPr>
              <w:spacing w:line="360" w:lineRule="auto"/>
              <w:rPr>
                <w:rFonts w:ascii="宋体" w:hAnsi="宋体"/>
                <w:sz w:val="24"/>
                <w:szCs w:val="24"/>
              </w:rPr>
            </w:pPr>
          </w:p>
        </w:tc>
        <w:tc>
          <w:tcPr>
            <w:tcW w:w="567" w:type="dxa"/>
            <w:vMerge w:val="continue"/>
            <w:vAlign w:val="center"/>
          </w:tcPr>
          <w:p>
            <w:pPr>
              <w:spacing w:line="360" w:lineRule="auto"/>
              <w:rPr>
                <w:rFonts w:ascii="宋体" w:hAnsi="宋体"/>
                <w:sz w:val="24"/>
                <w:szCs w:val="24"/>
              </w:rPr>
            </w:pPr>
          </w:p>
        </w:tc>
        <w:tc>
          <w:tcPr>
            <w:tcW w:w="709" w:type="dxa"/>
            <w:vAlign w:val="center"/>
          </w:tcPr>
          <w:p>
            <w:pPr>
              <w:spacing w:line="360" w:lineRule="auto"/>
              <w:rPr>
                <w:rFonts w:ascii="宋体" w:hAnsi="宋体"/>
                <w:sz w:val="24"/>
                <w:szCs w:val="24"/>
              </w:rPr>
            </w:pPr>
            <w:r>
              <w:rPr>
                <w:rFonts w:hint="eastAsia" w:ascii="宋体" w:hAnsi="宋体"/>
                <w:sz w:val="24"/>
                <w:szCs w:val="24"/>
              </w:rPr>
              <w:t>技术团队(22)</w:t>
            </w:r>
          </w:p>
        </w:tc>
        <w:tc>
          <w:tcPr>
            <w:tcW w:w="7045" w:type="dxa"/>
            <w:vAlign w:val="center"/>
          </w:tcPr>
          <w:p>
            <w:pPr>
              <w:spacing w:line="360" w:lineRule="auto"/>
              <w:rPr>
                <w:rFonts w:ascii="宋体" w:hAnsi="宋体"/>
                <w:sz w:val="24"/>
                <w:szCs w:val="24"/>
              </w:rPr>
            </w:pPr>
            <w:r>
              <w:rPr>
                <w:rFonts w:ascii="宋体" w:hAnsi="宋体"/>
                <w:sz w:val="24"/>
                <w:szCs w:val="24"/>
              </w:rPr>
              <w:t>1.</w:t>
            </w:r>
            <w:r>
              <w:rPr>
                <w:rFonts w:hint="eastAsia" w:ascii="宋体" w:hAnsi="宋体"/>
                <w:sz w:val="24"/>
                <w:szCs w:val="24"/>
              </w:rPr>
              <w:t>项目技术负责人须具有信息安全等级测评师（中级）及以上证书，同时具有信息系统项目管理师、注册云安全系统认证专家证书（CCSSP）、信息系统高级咨询师证书的每项得</w:t>
            </w:r>
            <w:r>
              <w:rPr>
                <w:rFonts w:ascii="宋体" w:hAnsi="宋体"/>
                <w:sz w:val="24"/>
                <w:szCs w:val="24"/>
              </w:rPr>
              <w:t>2</w:t>
            </w:r>
            <w:r>
              <w:rPr>
                <w:rFonts w:hint="eastAsia" w:ascii="宋体" w:hAnsi="宋体"/>
                <w:sz w:val="24"/>
                <w:szCs w:val="24"/>
              </w:rPr>
              <w:t>分，最多得6分。</w:t>
            </w:r>
          </w:p>
          <w:p>
            <w:pPr>
              <w:spacing w:line="360" w:lineRule="auto"/>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 xml:space="preserve"> 项目质量负责人须具有信息安全等级测评师（中级）及以上证书，同时具有注册渗透测试工程师（C</w:t>
            </w:r>
            <w:r>
              <w:rPr>
                <w:rFonts w:ascii="宋体" w:hAnsi="宋体"/>
                <w:sz w:val="24"/>
                <w:szCs w:val="24"/>
              </w:rPr>
              <w:t>ISP-PTE</w:t>
            </w:r>
            <w:r>
              <w:rPr>
                <w:rFonts w:hint="eastAsia" w:ascii="宋体" w:hAnsi="宋体"/>
                <w:sz w:val="24"/>
                <w:szCs w:val="24"/>
              </w:rPr>
              <w:t>）证书、信息安全工程师证书的每项得2分，最多得</w:t>
            </w:r>
            <w:r>
              <w:rPr>
                <w:rFonts w:ascii="宋体" w:hAnsi="宋体"/>
                <w:sz w:val="24"/>
                <w:szCs w:val="24"/>
              </w:rPr>
              <w:t>4</w:t>
            </w:r>
            <w:r>
              <w:rPr>
                <w:rFonts w:hint="eastAsia" w:ascii="宋体" w:hAnsi="宋体"/>
                <w:sz w:val="24"/>
                <w:szCs w:val="24"/>
              </w:rPr>
              <w:t>分。</w:t>
            </w:r>
          </w:p>
          <w:p>
            <w:pPr>
              <w:spacing w:line="360" w:lineRule="auto"/>
              <w:rPr>
                <w:rFonts w:ascii="宋体" w:hAnsi="宋体"/>
                <w:sz w:val="24"/>
                <w:szCs w:val="24"/>
              </w:rPr>
            </w:pPr>
            <w:r>
              <w:rPr>
                <w:rFonts w:hint="eastAsia" w:ascii="宋体" w:hAnsi="宋体"/>
                <w:sz w:val="24"/>
                <w:szCs w:val="24"/>
              </w:rPr>
              <w:t>3、项目测评工程师具有以下证书分别加分，不重复计分。</w:t>
            </w:r>
          </w:p>
          <w:p>
            <w:pPr>
              <w:spacing w:line="360" w:lineRule="auto"/>
              <w:rPr>
                <w:rFonts w:ascii="宋体" w:hAnsi="宋体"/>
                <w:sz w:val="24"/>
                <w:szCs w:val="24"/>
              </w:rPr>
            </w:pPr>
            <w:r>
              <w:rPr>
                <w:rFonts w:hint="eastAsia" w:ascii="宋体" w:hAnsi="宋体"/>
                <w:sz w:val="24"/>
                <w:szCs w:val="24"/>
              </w:rPr>
              <w:t>（1）具有信息安全风险评估师证书得2分；</w:t>
            </w:r>
          </w:p>
          <w:p>
            <w:pPr>
              <w:spacing w:line="360" w:lineRule="auto"/>
              <w:rPr>
                <w:rFonts w:ascii="宋体" w:hAnsi="宋体"/>
                <w:sz w:val="24"/>
                <w:szCs w:val="24"/>
              </w:rPr>
            </w:pPr>
            <w:r>
              <w:rPr>
                <w:rFonts w:hint="eastAsia" w:ascii="宋体" w:hAnsi="宋体"/>
                <w:sz w:val="24"/>
                <w:szCs w:val="24"/>
              </w:rPr>
              <w:t>（2）具有注册云安全系统认证专家证书（CCSSP）得2分；</w:t>
            </w:r>
          </w:p>
          <w:p>
            <w:pPr>
              <w:spacing w:line="360" w:lineRule="auto"/>
              <w:rPr>
                <w:rFonts w:ascii="宋体" w:hAnsi="宋体"/>
                <w:sz w:val="24"/>
                <w:szCs w:val="24"/>
              </w:rPr>
            </w:pPr>
            <w:r>
              <w:rPr>
                <w:rFonts w:hint="eastAsia" w:ascii="宋体" w:hAnsi="宋体"/>
                <w:sz w:val="24"/>
                <w:szCs w:val="24"/>
              </w:rPr>
              <w:t>（3）具有网络与信息安全应急人员证书得2分；</w:t>
            </w:r>
          </w:p>
          <w:p>
            <w:pPr>
              <w:spacing w:line="360" w:lineRule="auto"/>
              <w:rPr>
                <w:rFonts w:ascii="宋体" w:hAnsi="宋体"/>
                <w:sz w:val="24"/>
                <w:szCs w:val="24"/>
              </w:rPr>
            </w:pPr>
            <w:r>
              <w:rPr>
                <w:rFonts w:hint="eastAsia" w:ascii="宋体" w:hAnsi="宋体"/>
                <w:sz w:val="24"/>
                <w:szCs w:val="24"/>
              </w:rPr>
              <w:t>（4）具有注册数据隐私安全专家认证得2分；</w:t>
            </w:r>
          </w:p>
          <w:p>
            <w:pPr>
              <w:spacing w:line="360" w:lineRule="auto"/>
              <w:rPr>
                <w:rFonts w:ascii="宋体" w:hAnsi="宋体"/>
                <w:sz w:val="24"/>
                <w:szCs w:val="24"/>
              </w:rPr>
            </w:pPr>
            <w:r>
              <w:rPr>
                <w:rFonts w:hint="eastAsia" w:ascii="宋体" w:hAnsi="宋体"/>
                <w:sz w:val="24"/>
                <w:szCs w:val="24"/>
              </w:rPr>
              <w:t>（5）具有网络安全高级工程师证书得2分；</w:t>
            </w:r>
          </w:p>
          <w:p>
            <w:pPr>
              <w:spacing w:line="360" w:lineRule="auto"/>
              <w:rPr>
                <w:rFonts w:ascii="宋体" w:hAnsi="宋体"/>
                <w:sz w:val="24"/>
                <w:szCs w:val="24"/>
              </w:rPr>
            </w:pPr>
            <w:r>
              <w:rPr>
                <w:rFonts w:hint="eastAsia" w:ascii="宋体" w:hAnsi="宋体"/>
                <w:sz w:val="24"/>
                <w:szCs w:val="24"/>
              </w:rPr>
              <w:t>（6）具有国际信息安全技术专家证书得2分。</w:t>
            </w:r>
          </w:p>
          <w:p>
            <w:pPr>
              <w:spacing w:line="360" w:lineRule="auto"/>
              <w:rPr>
                <w:rFonts w:ascii="宋体" w:hAnsi="宋体"/>
                <w:sz w:val="24"/>
                <w:szCs w:val="24"/>
              </w:rPr>
            </w:pPr>
            <w:r>
              <w:rPr>
                <w:rFonts w:hint="eastAsia" w:ascii="宋体" w:hAnsi="宋体" w:eastAsia="宋体" w:cs="宋体"/>
                <w:sz w:val="24"/>
                <w:szCs w:val="24"/>
              </w:rPr>
              <w:t>注：须提供相关人员证书复印件及近三个月在供应商单位的在职证明（如社保缴纳证明、纳税证明、工资证明、劳动合同等）复印件，并加盖单位鲜章。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15" w:type="dxa"/>
            <w:vAlign w:val="center"/>
          </w:tcPr>
          <w:p>
            <w:pPr>
              <w:spacing w:line="360" w:lineRule="auto"/>
              <w:jc w:val="center"/>
              <w:rPr>
                <w:rFonts w:ascii="宋体" w:hAnsi="宋体"/>
                <w:sz w:val="24"/>
                <w:szCs w:val="24"/>
              </w:rPr>
            </w:pPr>
            <w:r>
              <w:rPr>
                <w:rFonts w:hint="eastAsia" w:ascii="宋体" w:hAnsi="宋体"/>
                <w:sz w:val="24"/>
                <w:szCs w:val="24"/>
              </w:rPr>
              <w:t>6</w:t>
            </w:r>
          </w:p>
        </w:tc>
        <w:tc>
          <w:tcPr>
            <w:tcW w:w="815" w:type="dxa"/>
            <w:vAlign w:val="center"/>
          </w:tcPr>
          <w:p>
            <w:pPr>
              <w:spacing w:line="360" w:lineRule="auto"/>
              <w:jc w:val="center"/>
              <w:rPr>
                <w:rFonts w:ascii="宋体" w:hAnsi="宋体"/>
                <w:sz w:val="24"/>
                <w:szCs w:val="24"/>
              </w:rPr>
            </w:pPr>
            <w:r>
              <w:rPr>
                <w:rFonts w:hint="eastAsia" w:ascii="宋体" w:hAnsi="宋体"/>
                <w:sz w:val="24"/>
                <w:szCs w:val="24"/>
              </w:rPr>
              <w:t>测评方案</w:t>
            </w:r>
          </w:p>
        </w:tc>
        <w:tc>
          <w:tcPr>
            <w:tcW w:w="567" w:type="dxa"/>
            <w:vAlign w:val="center"/>
          </w:tcPr>
          <w:p>
            <w:pPr>
              <w:spacing w:line="360" w:lineRule="auto"/>
              <w:jc w:val="center"/>
              <w:rPr>
                <w:rFonts w:ascii="宋体" w:hAnsi="宋体"/>
                <w:sz w:val="24"/>
                <w:szCs w:val="24"/>
              </w:rPr>
            </w:pPr>
            <w:r>
              <w:rPr>
                <w:rFonts w:hint="eastAsia" w:ascii="宋体" w:hAnsi="宋体"/>
                <w:sz w:val="24"/>
                <w:szCs w:val="24"/>
              </w:rPr>
              <w:t>1</w:t>
            </w:r>
            <w:r>
              <w:rPr>
                <w:rFonts w:ascii="宋体" w:hAnsi="宋体"/>
                <w:sz w:val="24"/>
                <w:szCs w:val="24"/>
              </w:rPr>
              <w:t>5</w:t>
            </w:r>
          </w:p>
        </w:tc>
        <w:tc>
          <w:tcPr>
            <w:tcW w:w="7754" w:type="dxa"/>
            <w:gridSpan w:val="2"/>
            <w:vAlign w:val="center"/>
          </w:tcPr>
          <w:p>
            <w:pPr>
              <w:spacing w:line="360" w:lineRule="auto"/>
              <w:rPr>
                <w:rFonts w:ascii="宋体" w:hAnsi="宋体"/>
                <w:color w:val="000000"/>
                <w:sz w:val="24"/>
                <w:szCs w:val="24"/>
              </w:rPr>
            </w:pPr>
            <w:r>
              <w:rPr>
                <w:rFonts w:hint="eastAsia" w:ascii="宋体" w:hAnsi="宋体"/>
                <w:color w:val="000000"/>
                <w:sz w:val="24"/>
                <w:szCs w:val="24"/>
              </w:rPr>
              <w:t>投标人提供的方案包含针对本项目的测评实施方案、测评工具安排方案、项目组织管理方案、应急方案和售后服务方案，且内容合理完善，具有可行性和可操作性，满足采购实际需要的得1</w:t>
            </w:r>
            <w:r>
              <w:rPr>
                <w:rFonts w:ascii="宋体" w:hAnsi="宋体"/>
                <w:color w:val="000000"/>
                <w:sz w:val="24"/>
                <w:szCs w:val="24"/>
              </w:rPr>
              <w:t>5</w:t>
            </w:r>
            <w:r>
              <w:rPr>
                <w:rFonts w:hint="eastAsia" w:ascii="宋体" w:hAnsi="宋体"/>
                <w:color w:val="000000"/>
                <w:sz w:val="24"/>
                <w:szCs w:val="24"/>
              </w:rPr>
              <w:t>分。每缺少一项方案或每有一项方案不具有可行性或可操作性的扣</w:t>
            </w:r>
            <w:r>
              <w:rPr>
                <w:rFonts w:ascii="宋体" w:hAnsi="宋体"/>
                <w:color w:val="000000"/>
                <w:sz w:val="24"/>
                <w:szCs w:val="24"/>
              </w:rPr>
              <w:t>3</w:t>
            </w:r>
            <w:r>
              <w:rPr>
                <w:rFonts w:hint="eastAsia" w:ascii="宋体" w:hAnsi="宋体"/>
                <w:color w:val="000000"/>
                <w:sz w:val="24"/>
                <w:szCs w:val="24"/>
              </w:rPr>
              <w:t>分，扣完为止。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15" w:type="dxa"/>
            <w:vAlign w:val="center"/>
          </w:tcPr>
          <w:p>
            <w:pPr>
              <w:spacing w:line="360" w:lineRule="auto"/>
              <w:jc w:val="center"/>
              <w:rPr>
                <w:rFonts w:ascii="宋体" w:hAnsi="宋体"/>
                <w:sz w:val="24"/>
                <w:szCs w:val="24"/>
              </w:rPr>
            </w:pPr>
            <w:r>
              <w:rPr>
                <w:rFonts w:hint="eastAsia" w:ascii="宋体" w:hAnsi="宋体"/>
                <w:sz w:val="24"/>
                <w:szCs w:val="24"/>
              </w:rPr>
              <w:t>7</w:t>
            </w:r>
          </w:p>
        </w:tc>
        <w:tc>
          <w:tcPr>
            <w:tcW w:w="815" w:type="dxa"/>
            <w:vAlign w:val="center"/>
          </w:tcPr>
          <w:p>
            <w:pPr>
              <w:spacing w:line="360" w:lineRule="auto"/>
              <w:jc w:val="center"/>
              <w:rPr>
                <w:rFonts w:ascii="宋体" w:hAnsi="宋体"/>
                <w:sz w:val="24"/>
                <w:szCs w:val="24"/>
              </w:rPr>
            </w:pPr>
            <w:r>
              <w:rPr>
                <w:rFonts w:hint="eastAsia" w:ascii="宋体" w:hAnsi="宋体"/>
                <w:sz w:val="24"/>
                <w:szCs w:val="24"/>
              </w:rPr>
              <w:t>测评工具仪器</w:t>
            </w:r>
          </w:p>
        </w:tc>
        <w:tc>
          <w:tcPr>
            <w:tcW w:w="567" w:type="dxa"/>
            <w:vAlign w:val="center"/>
          </w:tcPr>
          <w:p>
            <w:pPr>
              <w:spacing w:line="360" w:lineRule="auto"/>
              <w:jc w:val="center"/>
              <w:rPr>
                <w:rFonts w:ascii="宋体" w:hAnsi="宋体"/>
                <w:sz w:val="24"/>
                <w:szCs w:val="24"/>
              </w:rPr>
            </w:pPr>
            <w:r>
              <w:rPr>
                <w:rFonts w:hint="eastAsia" w:ascii="宋体" w:hAnsi="宋体"/>
                <w:sz w:val="24"/>
                <w:szCs w:val="24"/>
              </w:rPr>
              <w:t>8</w:t>
            </w:r>
          </w:p>
        </w:tc>
        <w:tc>
          <w:tcPr>
            <w:tcW w:w="7754" w:type="dxa"/>
            <w:gridSpan w:val="2"/>
            <w:vAlign w:val="center"/>
          </w:tcPr>
          <w:p>
            <w:pPr>
              <w:spacing w:line="360" w:lineRule="auto"/>
              <w:rPr>
                <w:rFonts w:ascii="宋体" w:hAnsi="宋体"/>
                <w:color w:val="000000"/>
                <w:sz w:val="24"/>
                <w:szCs w:val="24"/>
              </w:rPr>
            </w:pPr>
            <w:r>
              <w:rPr>
                <w:rFonts w:hint="eastAsia" w:ascii="宋体" w:hAnsi="宋体"/>
                <w:color w:val="000000"/>
                <w:sz w:val="24"/>
                <w:szCs w:val="24"/>
              </w:rPr>
              <w:t>测评涉及到系统安全性、可靠性等验证性测试，因此要求具有相应的工具、仪器设备提供科学的测试参考。</w:t>
            </w:r>
          </w:p>
          <w:p>
            <w:pPr>
              <w:spacing w:line="360" w:lineRule="auto"/>
              <w:rPr>
                <w:rFonts w:ascii="宋体" w:hAnsi="宋体"/>
                <w:color w:val="000000"/>
                <w:sz w:val="24"/>
                <w:szCs w:val="24"/>
              </w:rPr>
            </w:pPr>
            <w:r>
              <w:rPr>
                <w:rFonts w:hint="eastAsia" w:ascii="宋体" w:hAnsi="宋体"/>
                <w:color w:val="000000"/>
                <w:sz w:val="24"/>
                <w:szCs w:val="24"/>
              </w:rPr>
              <w:t>1．具有相应的网络性能测试、分析平台/工具得2分，没有不得分。</w:t>
            </w:r>
          </w:p>
          <w:p>
            <w:pPr>
              <w:spacing w:line="360" w:lineRule="auto"/>
              <w:rPr>
                <w:rFonts w:ascii="宋体" w:hAnsi="宋体"/>
                <w:color w:val="000000"/>
                <w:sz w:val="24"/>
                <w:szCs w:val="24"/>
              </w:rPr>
            </w:pPr>
            <w:r>
              <w:rPr>
                <w:rFonts w:hint="eastAsia" w:ascii="宋体" w:hAnsi="宋体"/>
                <w:color w:val="000000"/>
                <w:sz w:val="24"/>
                <w:szCs w:val="24"/>
              </w:rPr>
              <w:t>2．具有软件性能测试、分析平台/工具得2分，没有不得分。</w:t>
            </w:r>
          </w:p>
          <w:p>
            <w:pPr>
              <w:spacing w:line="360" w:lineRule="auto"/>
              <w:rPr>
                <w:rFonts w:ascii="宋体" w:hAnsi="宋体"/>
                <w:color w:val="000000"/>
                <w:sz w:val="24"/>
                <w:szCs w:val="24"/>
              </w:rPr>
            </w:pPr>
            <w:r>
              <w:rPr>
                <w:rFonts w:hint="eastAsia" w:ascii="宋体" w:hAnsi="宋体"/>
                <w:color w:val="000000"/>
                <w:sz w:val="24"/>
                <w:szCs w:val="24"/>
              </w:rPr>
              <w:t>3．具有网络安全扫描、分析平台/工具得2分，没有不得分。</w:t>
            </w:r>
          </w:p>
          <w:p>
            <w:pPr>
              <w:spacing w:line="360" w:lineRule="auto"/>
              <w:rPr>
                <w:rFonts w:ascii="宋体" w:hAnsi="宋体"/>
                <w:color w:val="000000"/>
                <w:sz w:val="24"/>
                <w:szCs w:val="24"/>
              </w:rPr>
            </w:pPr>
            <w:r>
              <w:rPr>
                <w:rFonts w:hint="eastAsia" w:ascii="宋体" w:hAnsi="宋体"/>
                <w:color w:val="000000"/>
                <w:sz w:val="24"/>
                <w:szCs w:val="24"/>
              </w:rPr>
              <w:t>4．</w:t>
            </w:r>
            <w:r>
              <w:rPr>
                <w:rFonts w:hint="eastAsia" w:ascii="宋体" w:hAnsi="宋体"/>
                <w:sz w:val="24"/>
                <w:szCs w:val="24"/>
              </w:rPr>
              <w:t>具有软件源代码安全检测平台/工具得2分，没</w:t>
            </w:r>
            <w:r>
              <w:rPr>
                <w:rFonts w:hint="eastAsia" w:ascii="宋体" w:hAnsi="宋体"/>
                <w:color w:val="000000"/>
                <w:sz w:val="24"/>
                <w:szCs w:val="24"/>
              </w:rPr>
              <w:t>有不得分。</w:t>
            </w:r>
          </w:p>
          <w:p>
            <w:pPr>
              <w:spacing w:line="360" w:lineRule="auto"/>
              <w:rPr>
                <w:rFonts w:ascii="宋体" w:hAnsi="宋体"/>
                <w:color w:val="000000"/>
                <w:sz w:val="24"/>
                <w:szCs w:val="24"/>
              </w:rPr>
            </w:pPr>
            <w:r>
              <w:rPr>
                <w:rFonts w:hint="eastAsia" w:ascii="宋体" w:hAnsi="宋体"/>
                <w:color w:val="000000"/>
                <w:sz w:val="24"/>
                <w:szCs w:val="24"/>
              </w:rPr>
              <w:t>注：</w:t>
            </w:r>
            <w:r>
              <w:rPr>
                <w:rFonts w:ascii="宋体" w:hAnsi="宋体"/>
                <w:color w:val="000000"/>
                <w:sz w:val="24"/>
                <w:szCs w:val="24"/>
              </w:rPr>
              <w:t>需提供相应工具、仪器设备购买发票复印件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15" w:type="dxa"/>
            <w:vAlign w:val="center"/>
          </w:tcPr>
          <w:p>
            <w:pPr>
              <w:spacing w:line="360" w:lineRule="auto"/>
              <w:jc w:val="center"/>
              <w:rPr>
                <w:rFonts w:ascii="宋体" w:hAnsi="宋体"/>
                <w:sz w:val="24"/>
                <w:szCs w:val="24"/>
              </w:rPr>
            </w:pPr>
            <w:r>
              <w:rPr>
                <w:rFonts w:ascii="宋体" w:hAnsi="宋体"/>
                <w:sz w:val="24"/>
                <w:szCs w:val="24"/>
              </w:rPr>
              <w:t>8</w:t>
            </w:r>
          </w:p>
        </w:tc>
        <w:tc>
          <w:tcPr>
            <w:tcW w:w="815" w:type="dxa"/>
            <w:vAlign w:val="center"/>
          </w:tcPr>
          <w:p>
            <w:pPr>
              <w:spacing w:line="360" w:lineRule="auto"/>
              <w:jc w:val="center"/>
              <w:rPr>
                <w:rFonts w:ascii="宋体" w:hAnsi="宋体"/>
                <w:sz w:val="24"/>
                <w:szCs w:val="24"/>
              </w:rPr>
            </w:pPr>
            <w:r>
              <w:rPr>
                <w:rFonts w:hint="eastAsia" w:ascii="宋体" w:hAnsi="宋体"/>
                <w:sz w:val="24"/>
                <w:szCs w:val="24"/>
              </w:rPr>
              <w:t>投标文件的规范性</w:t>
            </w:r>
          </w:p>
        </w:tc>
        <w:tc>
          <w:tcPr>
            <w:tcW w:w="567"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7754" w:type="dxa"/>
            <w:gridSpan w:val="2"/>
            <w:vAlign w:val="center"/>
          </w:tcPr>
          <w:p>
            <w:pPr>
              <w:spacing w:line="360" w:lineRule="auto"/>
              <w:rPr>
                <w:rFonts w:ascii="宋体" w:hAnsi="宋体"/>
                <w:sz w:val="24"/>
                <w:szCs w:val="24"/>
              </w:rPr>
            </w:pPr>
            <w:r>
              <w:rPr>
                <w:rFonts w:hint="eastAsia" w:ascii="宋体" w:hAnsi="宋体"/>
                <w:sz w:val="24"/>
                <w:szCs w:val="24"/>
              </w:rPr>
              <w:t>投标文件制作规范，没有细微偏差情形的得2分；有一项细微偏差扣0.2分，扣完为止。</w:t>
            </w:r>
          </w:p>
        </w:tc>
      </w:tr>
    </w:tbl>
    <w:p>
      <w:pPr>
        <w:spacing w:line="360" w:lineRule="auto"/>
        <w:rPr>
          <w:rFonts w:ascii="宋体" w:hAnsi="宋体"/>
          <w:b/>
          <w:sz w:val="24"/>
          <w:szCs w:val="24"/>
        </w:rPr>
      </w:pPr>
    </w:p>
    <w:sectPr>
      <w:headerReference r:id="rId3" w:type="first"/>
      <w:pgSz w:w="11906" w:h="16838"/>
      <w:pgMar w:top="1440" w:right="1797" w:bottom="1440"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E94136"/>
    <w:multiLevelType w:val="multilevel"/>
    <w:tmpl w:val="33E9413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NGJhZjZiYTViNTllMWZmNDUxMjk2MGU5ZWJmMzgifQ=="/>
  </w:docVars>
  <w:rsids>
    <w:rsidRoot w:val="00B1629B"/>
    <w:rsid w:val="000017F1"/>
    <w:rsid w:val="00011BD1"/>
    <w:rsid w:val="00011EF6"/>
    <w:rsid w:val="000318CB"/>
    <w:rsid w:val="00033527"/>
    <w:rsid w:val="0004187D"/>
    <w:rsid w:val="00053DA5"/>
    <w:rsid w:val="00055BAA"/>
    <w:rsid w:val="00056CDD"/>
    <w:rsid w:val="000604A8"/>
    <w:rsid w:val="000711DA"/>
    <w:rsid w:val="000927C9"/>
    <w:rsid w:val="00094789"/>
    <w:rsid w:val="000B68AD"/>
    <w:rsid w:val="0010441D"/>
    <w:rsid w:val="0014215C"/>
    <w:rsid w:val="00145AFB"/>
    <w:rsid w:val="001534C9"/>
    <w:rsid w:val="00157CCD"/>
    <w:rsid w:val="00175FF1"/>
    <w:rsid w:val="00181974"/>
    <w:rsid w:val="00182263"/>
    <w:rsid w:val="00183A67"/>
    <w:rsid w:val="001B7765"/>
    <w:rsid w:val="001D2C5C"/>
    <w:rsid w:val="001D2F30"/>
    <w:rsid w:val="00203DFA"/>
    <w:rsid w:val="00225FAC"/>
    <w:rsid w:val="0023009A"/>
    <w:rsid w:val="0026109A"/>
    <w:rsid w:val="002613AA"/>
    <w:rsid w:val="00283E5A"/>
    <w:rsid w:val="00284493"/>
    <w:rsid w:val="00293180"/>
    <w:rsid w:val="002E1737"/>
    <w:rsid w:val="0032194A"/>
    <w:rsid w:val="003224BB"/>
    <w:rsid w:val="00322DF1"/>
    <w:rsid w:val="00355591"/>
    <w:rsid w:val="00370E82"/>
    <w:rsid w:val="00373A2A"/>
    <w:rsid w:val="003B5D47"/>
    <w:rsid w:val="003D3419"/>
    <w:rsid w:val="004101C5"/>
    <w:rsid w:val="00415919"/>
    <w:rsid w:val="0047658B"/>
    <w:rsid w:val="005557E9"/>
    <w:rsid w:val="00565A30"/>
    <w:rsid w:val="005B2442"/>
    <w:rsid w:val="005E2ED5"/>
    <w:rsid w:val="005E4B47"/>
    <w:rsid w:val="005F6056"/>
    <w:rsid w:val="00604346"/>
    <w:rsid w:val="006149AD"/>
    <w:rsid w:val="006177FF"/>
    <w:rsid w:val="00657F2E"/>
    <w:rsid w:val="00661B3D"/>
    <w:rsid w:val="00664190"/>
    <w:rsid w:val="006A017A"/>
    <w:rsid w:val="006A0863"/>
    <w:rsid w:val="006A1471"/>
    <w:rsid w:val="006B4385"/>
    <w:rsid w:val="006C6653"/>
    <w:rsid w:val="006E2799"/>
    <w:rsid w:val="00700712"/>
    <w:rsid w:val="00703F81"/>
    <w:rsid w:val="00715CD4"/>
    <w:rsid w:val="0071718A"/>
    <w:rsid w:val="00724E85"/>
    <w:rsid w:val="00755580"/>
    <w:rsid w:val="00776C40"/>
    <w:rsid w:val="00800E1E"/>
    <w:rsid w:val="008357FB"/>
    <w:rsid w:val="00866F5A"/>
    <w:rsid w:val="00872D61"/>
    <w:rsid w:val="008946E7"/>
    <w:rsid w:val="008960C0"/>
    <w:rsid w:val="008B0709"/>
    <w:rsid w:val="008D2664"/>
    <w:rsid w:val="008D3274"/>
    <w:rsid w:val="008E698B"/>
    <w:rsid w:val="008F07B0"/>
    <w:rsid w:val="008F4127"/>
    <w:rsid w:val="008F56BA"/>
    <w:rsid w:val="00900834"/>
    <w:rsid w:val="0093032E"/>
    <w:rsid w:val="00942AC6"/>
    <w:rsid w:val="009577FB"/>
    <w:rsid w:val="009676A1"/>
    <w:rsid w:val="009710E2"/>
    <w:rsid w:val="009722A1"/>
    <w:rsid w:val="009851CB"/>
    <w:rsid w:val="009C4CCF"/>
    <w:rsid w:val="009D253A"/>
    <w:rsid w:val="009D28C1"/>
    <w:rsid w:val="00A00B2D"/>
    <w:rsid w:val="00A3020A"/>
    <w:rsid w:val="00A953F9"/>
    <w:rsid w:val="00AA4A78"/>
    <w:rsid w:val="00AB02BA"/>
    <w:rsid w:val="00AE048D"/>
    <w:rsid w:val="00AE0837"/>
    <w:rsid w:val="00AF6E42"/>
    <w:rsid w:val="00B1629B"/>
    <w:rsid w:val="00B175DA"/>
    <w:rsid w:val="00B37F5A"/>
    <w:rsid w:val="00B533A4"/>
    <w:rsid w:val="00B61D78"/>
    <w:rsid w:val="00B64626"/>
    <w:rsid w:val="00B656E3"/>
    <w:rsid w:val="00B72A08"/>
    <w:rsid w:val="00B74FAB"/>
    <w:rsid w:val="00B90B3B"/>
    <w:rsid w:val="00BB144C"/>
    <w:rsid w:val="00BC01F9"/>
    <w:rsid w:val="00BE4060"/>
    <w:rsid w:val="00BF324E"/>
    <w:rsid w:val="00BF3EA8"/>
    <w:rsid w:val="00C01EFE"/>
    <w:rsid w:val="00C07530"/>
    <w:rsid w:val="00C314AE"/>
    <w:rsid w:val="00C34313"/>
    <w:rsid w:val="00C44717"/>
    <w:rsid w:val="00C7054D"/>
    <w:rsid w:val="00C85444"/>
    <w:rsid w:val="00C86714"/>
    <w:rsid w:val="00C91D28"/>
    <w:rsid w:val="00CB4C26"/>
    <w:rsid w:val="00CE05BA"/>
    <w:rsid w:val="00CE69C4"/>
    <w:rsid w:val="00D1286B"/>
    <w:rsid w:val="00D12EE9"/>
    <w:rsid w:val="00D31498"/>
    <w:rsid w:val="00D4106E"/>
    <w:rsid w:val="00D43487"/>
    <w:rsid w:val="00D603AE"/>
    <w:rsid w:val="00D769A1"/>
    <w:rsid w:val="00D940D8"/>
    <w:rsid w:val="00DA5412"/>
    <w:rsid w:val="00DA72AF"/>
    <w:rsid w:val="00DB59DB"/>
    <w:rsid w:val="00DC12D3"/>
    <w:rsid w:val="00DC54C8"/>
    <w:rsid w:val="00DD5F98"/>
    <w:rsid w:val="00E06066"/>
    <w:rsid w:val="00E37E4D"/>
    <w:rsid w:val="00E403A2"/>
    <w:rsid w:val="00E52188"/>
    <w:rsid w:val="00E556AA"/>
    <w:rsid w:val="00E63CD5"/>
    <w:rsid w:val="00E731D5"/>
    <w:rsid w:val="00E753DA"/>
    <w:rsid w:val="00ED0DC8"/>
    <w:rsid w:val="00EF22BE"/>
    <w:rsid w:val="00F00658"/>
    <w:rsid w:val="00F17247"/>
    <w:rsid w:val="00F36A76"/>
    <w:rsid w:val="00F372CD"/>
    <w:rsid w:val="00F52E4D"/>
    <w:rsid w:val="00F74D86"/>
    <w:rsid w:val="00F906E4"/>
    <w:rsid w:val="00F933E6"/>
    <w:rsid w:val="00FA0601"/>
    <w:rsid w:val="00FC38BF"/>
    <w:rsid w:val="54D03492"/>
    <w:rsid w:val="7AD61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Times New Roman" w:hAnsi="Times New Roman" w:eastAsia="宋体" w:cs="Times New Roman"/>
      <w:b/>
      <w:kern w:val="44"/>
      <w:sz w:val="32"/>
      <w:szCs w:val="20"/>
    </w:rPr>
  </w:style>
  <w:style w:type="paragraph" w:styleId="3">
    <w:name w:val="heading 2"/>
    <w:basedOn w:val="1"/>
    <w:next w:val="4"/>
    <w:link w:val="20"/>
    <w:qFormat/>
    <w:uiPriority w:val="0"/>
    <w:pPr>
      <w:keepNext/>
      <w:keepLines/>
      <w:spacing w:before="260" w:after="260" w:line="500" w:lineRule="exact"/>
      <w:outlineLvl w:val="1"/>
    </w:pPr>
    <w:rPr>
      <w:rFonts w:ascii="Arial" w:hAnsi="Arial" w:eastAsia="黑体" w:cs="Times New Roman"/>
      <w:b/>
      <w:sz w:val="28"/>
      <w:szCs w:val="20"/>
    </w:rPr>
  </w:style>
  <w:style w:type="paragraph" w:styleId="5">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Normal Indent"/>
    <w:basedOn w:val="1"/>
    <w:semiHidden/>
    <w:unhideWhenUsed/>
    <w:uiPriority w:val="99"/>
    <w:pPr>
      <w:ind w:firstLine="420" w:firstLineChars="200"/>
    </w:pPr>
  </w:style>
  <w:style w:type="paragraph" w:styleId="6">
    <w:name w:val="annotation text"/>
    <w:basedOn w:val="1"/>
    <w:link w:val="29"/>
    <w:unhideWhenUsed/>
    <w:uiPriority w:val="99"/>
    <w:pPr>
      <w:jc w:val="left"/>
    </w:pPr>
  </w:style>
  <w:style w:type="paragraph" w:styleId="7">
    <w:name w:val="Body Text"/>
    <w:basedOn w:val="1"/>
    <w:link w:val="32"/>
    <w:semiHidden/>
    <w:unhideWhenUsed/>
    <w:uiPriority w:val="99"/>
    <w:pPr>
      <w:spacing w:after="120"/>
    </w:pPr>
  </w:style>
  <w:style w:type="paragraph" w:styleId="8">
    <w:name w:val="Plain Text"/>
    <w:basedOn w:val="1"/>
    <w:link w:val="26"/>
    <w:qFormat/>
    <w:uiPriority w:val="0"/>
    <w:rPr>
      <w:rFonts w:ascii="宋体" w:hAnsi="Courier New" w:eastAsia="宋体" w:cs="Times New Roman"/>
      <w:szCs w:val="21"/>
      <w:lang w:val="zh-CN" w:eastAsia="zh-CN"/>
    </w:rPr>
  </w:style>
  <w:style w:type="paragraph" w:styleId="9">
    <w:name w:val="Balloon Text"/>
    <w:basedOn w:val="1"/>
    <w:link w:val="31"/>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iPriority w:val="0"/>
    <w:rPr>
      <w:rFonts w:ascii="Times New Roman" w:hAnsi="Times New Roman" w:eastAsia="宋体" w:cs="Times New Roman"/>
      <w:sz w:val="24"/>
      <w:szCs w:val="24"/>
    </w:rPr>
  </w:style>
  <w:style w:type="paragraph" w:styleId="13">
    <w:name w:val="annotation subject"/>
    <w:basedOn w:val="6"/>
    <w:next w:val="6"/>
    <w:link w:val="30"/>
    <w:semiHidden/>
    <w:unhideWhenUsed/>
    <w:uiPriority w:val="99"/>
    <w:rPr>
      <w:b/>
      <w:bCs/>
    </w:rPr>
  </w:style>
  <w:style w:type="paragraph" w:styleId="14">
    <w:name w:val="Body Text First Indent"/>
    <w:basedOn w:val="7"/>
    <w:link w:val="33"/>
    <w:uiPriority w:val="0"/>
    <w:pPr>
      <w:widowControl/>
      <w:spacing w:line="360" w:lineRule="auto"/>
      <w:ind w:firstLine="200" w:firstLineChars="200"/>
      <w:jc w:val="left"/>
    </w:pPr>
    <w:rPr>
      <w:rFonts w:ascii="Cambria" w:hAnsi="Cambria" w:eastAsia="宋体" w:cs="Times New Roman"/>
      <w:kern w:val="0"/>
      <w:sz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semiHidden/>
    <w:unhideWhenUsed/>
    <w:uiPriority w:val="99"/>
    <w:rPr>
      <w:sz w:val="21"/>
      <w:szCs w:val="21"/>
    </w:rPr>
  </w:style>
  <w:style w:type="character" w:customStyle="1" w:styleId="19">
    <w:name w:val="标题 1 Char"/>
    <w:basedOn w:val="17"/>
    <w:link w:val="2"/>
    <w:uiPriority w:val="0"/>
    <w:rPr>
      <w:rFonts w:ascii="Times New Roman" w:hAnsi="Times New Roman" w:eastAsia="宋体" w:cs="Times New Roman"/>
      <w:b/>
      <w:kern w:val="44"/>
      <w:sz w:val="32"/>
      <w:szCs w:val="20"/>
    </w:rPr>
  </w:style>
  <w:style w:type="character" w:customStyle="1" w:styleId="20">
    <w:name w:val="标题 2 Char"/>
    <w:basedOn w:val="17"/>
    <w:link w:val="3"/>
    <w:qFormat/>
    <w:uiPriority w:val="0"/>
    <w:rPr>
      <w:rFonts w:ascii="Arial" w:hAnsi="Arial" w:eastAsia="黑体" w:cs="Times New Roman"/>
      <w:b/>
      <w:sz w:val="28"/>
      <w:szCs w:val="20"/>
    </w:rPr>
  </w:style>
  <w:style w:type="character" w:customStyle="1" w:styleId="21">
    <w:name w:val="标题 3 Char"/>
    <w:basedOn w:val="17"/>
    <w:link w:val="5"/>
    <w:qFormat/>
    <w:uiPriority w:val="9"/>
    <w:rPr>
      <w:b/>
      <w:bCs/>
      <w:sz w:val="32"/>
      <w:szCs w:val="32"/>
    </w:rPr>
  </w:style>
  <w:style w:type="character" w:customStyle="1" w:styleId="22">
    <w:name w:val="页眉 Char"/>
    <w:basedOn w:val="17"/>
    <w:link w:val="11"/>
    <w:qFormat/>
    <w:uiPriority w:val="99"/>
    <w:rPr>
      <w:sz w:val="18"/>
      <w:szCs w:val="18"/>
    </w:rPr>
  </w:style>
  <w:style w:type="character" w:customStyle="1" w:styleId="23">
    <w:name w:val="页脚 Char"/>
    <w:basedOn w:val="17"/>
    <w:link w:val="10"/>
    <w:qFormat/>
    <w:uiPriority w:val="99"/>
    <w:rPr>
      <w:sz w:val="18"/>
      <w:szCs w:val="18"/>
    </w:rPr>
  </w:style>
  <w:style w:type="character" w:customStyle="1" w:styleId="24">
    <w:name w:val="列出段落 Char"/>
    <w:link w:val="25"/>
    <w:qFormat/>
    <w:uiPriority w:val="0"/>
    <w:rPr>
      <w:rFonts w:ascii="Calibri" w:hAnsi="Calibri" w:eastAsia="宋体"/>
    </w:rPr>
  </w:style>
  <w:style w:type="paragraph" w:styleId="25">
    <w:name w:val="List Paragraph"/>
    <w:basedOn w:val="1"/>
    <w:link w:val="24"/>
    <w:qFormat/>
    <w:uiPriority w:val="0"/>
    <w:pPr>
      <w:ind w:firstLine="420" w:firstLineChars="200"/>
    </w:pPr>
    <w:rPr>
      <w:rFonts w:ascii="Calibri" w:hAnsi="Calibri" w:eastAsia="宋体"/>
    </w:rPr>
  </w:style>
  <w:style w:type="character" w:customStyle="1" w:styleId="26">
    <w:name w:val="纯文本 Char"/>
    <w:basedOn w:val="17"/>
    <w:link w:val="8"/>
    <w:qFormat/>
    <w:uiPriority w:val="0"/>
    <w:rPr>
      <w:rFonts w:ascii="宋体" w:hAnsi="Courier New" w:eastAsia="宋体" w:cs="Times New Roman"/>
      <w:szCs w:val="21"/>
      <w:lang w:val="zh-CN" w:eastAsia="zh-CN"/>
    </w:rPr>
  </w:style>
  <w:style w:type="paragraph" w:customStyle="1" w:styleId="27">
    <w:name w:val="*正文"/>
    <w:basedOn w:val="1"/>
    <w:qFormat/>
    <w:uiPriority w:val="0"/>
    <w:pPr>
      <w:widowControl/>
      <w:spacing w:line="360" w:lineRule="auto"/>
      <w:ind w:firstLine="480" w:firstLineChars="200"/>
      <w:jc w:val="left"/>
    </w:pPr>
    <w:rPr>
      <w:rFonts w:ascii="宋体" w:hAnsi="宋体" w:eastAsia="宋体" w:cs="宋体"/>
      <w:kern w:val="0"/>
      <w:sz w:val="24"/>
      <w:szCs w:val="28"/>
    </w:rPr>
  </w:style>
  <w:style w:type="paragraph" w:customStyle="1" w:styleId="28">
    <w:name w:val="Char Char Char 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 w:type="character" w:customStyle="1" w:styleId="29">
    <w:name w:val="批注文字 Char"/>
    <w:basedOn w:val="17"/>
    <w:link w:val="6"/>
    <w:qFormat/>
    <w:uiPriority w:val="99"/>
  </w:style>
  <w:style w:type="character" w:customStyle="1" w:styleId="30">
    <w:name w:val="批注主题 Char"/>
    <w:basedOn w:val="29"/>
    <w:link w:val="13"/>
    <w:semiHidden/>
    <w:uiPriority w:val="99"/>
    <w:rPr>
      <w:b/>
      <w:bCs/>
    </w:rPr>
  </w:style>
  <w:style w:type="character" w:customStyle="1" w:styleId="31">
    <w:name w:val="批注框文本 Char"/>
    <w:basedOn w:val="17"/>
    <w:link w:val="9"/>
    <w:semiHidden/>
    <w:uiPriority w:val="99"/>
    <w:rPr>
      <w:sz w:val="18"/>
      <w:szCs w:val="18"/>
    </w:rPr>
  </w:style>
  <w:style w:type="character" w:customStyle="1" w:styleId="32">
    <w:name w:val="正文文本 Char"/>
    <w:basedOn w:val="17"/>
    <w:link w:val="7"/>
    <w:semiHidden/>
    <w:qFormat/>
    <w:uiPriority w:val="99"/>
  </w:style>
  <w:style w:type="character" w:customStyle="1" w:styleId="33">
    <w:name w:val="正文首行缩进 Char"/>
    <w:basedOn w:val="32"/>
    <w:link w:val="14"/>
    <w:qFormat/>
    <w:uiPriority w:val="0"/>
    <w:rPr>
      <w:rFonts w:ascii="Cambria" w:hAnsi="Cambria" w:eastAsia="宋体"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9332</Words>
  <Characters>9514</Characters>
  <Lines>71</Lines>
  <Paragraphs>20</Paragraphs>
  <TotalTime>2574</TotalTime>
  <ScaleCrop>false</ScaleCrop>
  <LinksUpToDate>false</LinksUpToDate>
  <CharactersWithSpaces>9528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2020-01-21T01:46:00Z</dcterms:created>
  <dc:creator>E-O</dc:creator>
  <cp:lastModifiedBy>Administrator</cp:lastModifiedBy>
  <dcterms:modified xsi:type="dcterms:W3CDTF">2022-11-17T09:31:45Z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2CD5B0CE40AA46B78FCE13D93B14D697</vt:lpwstr>
  </property>
</Properties>
</file>